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D0AD7" w14:textId="41B4D226" w:rsidR="0038464B" w:rsidRPr="0038464B" w:rsidRDefault="002A7DC3" w:rsidP="00E45AE0">
      <w:pPr>
        <w:sectPr w:rsidR="0038464B" w:rsidRPr="0038464B" w:rsidSect="002A7DC3">
          <w:footerReference w:type="default" r:id="rId10"/>
          <w:footerReference w:type="first" r:id="rId11"/>
          <w:pgSz w:w="12240" w:h="15840"/>
          <w:pgMar w:top="1080" w:right="1120" w:bottom="280" w:left="1100" w:header="720" w:footer="720" w:gutter="0"/>
          <w:cols w:space="720"/>
        </w:sectPr>
      </w:pPr>
      <w:bookmarkStart w:id="0" w:name="_Hlk4584687"/>
      <w:bookmarkStart w:id="1" w:name="_Hlk4479948"/>
      <w:r w:rsidRPr="00167DC6">
        <w:rPr>
          <w:b/>
          <w:lang w:bidi="ar-SA"/>
        </w:rPr>
        <w:t>SAMPLE – For Reference Only</w:t>
      </w:r>
      <w:r w:rsidRPr="00C6162F">
        <w:rPr>
          <w:lang w:bidi="ar-SA"/>
        </w:rPr>
        <w:t xml:space="preserve"> – This sample is a redacted copy of a work statement accomplished under a NITAAC GWAC.</w:t>
      </w:r>
      <w:r>
        <w:rPr>
          <w:lang w:bidi="ar-SA"/>
        </w:rPr>
        <w:t xml:space="preserve"> </w:t>
      </w:r>
      <w:r>
        <w:rPr>
          <w:rFonts w:eastAsiaTheme="minorHAnsi"/>
        </w:rPr>
        <w:t xml:space="preserve">A Statement of Work (SOW) is typically used when the task is well-known and can be described in specific terms. Statement of Objective (SOO) and Performance Work Statement (PWS) emphasize performance-based concepts such as desired service outcomes and performance standards. Whereas PWS/SOO's establish high-level outcomes and objectives for performance and PWS's emphasize outcomes, desired results and objectives at a more detailed and measurable level, SOW's provide explicit statements of work direction for the contractor to follow. However, SOW's can also be found to contain references to desired performance outcomes, performance standards, and metrics, which is a preferred approach. </w:t>
      </w:r>
      <w:bookmarkEnd w:id="0"/>
      <w:bookmarkEnd w:id="1"/>
      <w:r w:rsidR="00E45AE0" w:rsidRPr="00E45AE0">
        <w:rPr>
          <w:b/>
          <w:bCs/>
        </w:rPr>
        <w:t>This sample is not all inclusive, therefore the reader is cautioned to use professional judgment and include agency specific references and regulations to their own PWS/SOO/SOW.</w:t>
      </w:r>
    </w:p>
    <w:p w14:paraId="17BD0AD8" w14:textId="77777777" w:rsidR="002A7DC3" w:rsidRPr="005B3D1A" w:rsidRDefault="002A7DC3" w:rsidP="000F0D32">
      <w:pPr>
        <w:pStyle w:val="Title"/>
      </w:pPr>
      <w:r w:rsidRPr="005B3D1A">
        <w:lastRenderedPageBreak/>
        <w:t>Statement of Work for</w:t>
      </w:r>
      <w:r>
        <w:br/>
      </w:r>
      <w:r w:rsidRPr="005B3D1A">
        <w:t>Big Data Environment (BDE)</w:t>
      </w:r>
    </w:p>
    <w:p w14:paraId="17BD0AD9" w14:textId="3FA19F58" w:rsidR="002A7DC3" w:rsidRDefault="00E339B2" w:rsidP="00787EDC">
      <w:pPr>
        <w:pStyle w:val="Heading1"/>
        <w:ind w:left="620" w:hanging="274"/>
      </w:pPr>
      <w:r w:rsidRPr="004A6400">
        <w:t>Background</w:t>
      </w:r>
    </w:p>
    <w:p w14:paraId="17BD0ADA" w14:textId="2C441878" w:rsidR="00321250" w:rsidRDefault="00C11E9B" w:rsidP="009F7265">
      <w:r>
        <w:t>Describe the background for the statement of work (here).</w:t>
      </w:r>
    </w:p>
    <w:p w14:paraId="17BD0ADB" w14:textId="25A40F72" w:rsidR="002A7DC3" w:rsidRPr="00E339B2" w:rsidRDefault="00E339B2" w:rsidP="00E339B2">
      <w:pPr>
        <w:pStyle w:val="Heading2"/>
      </w:pPr>
      <w:r w:rsidRPr="00E339B2">
        <w:t xml:space="preserve">Scope </w:t>
      </w:r>
      <w:r>
        <w:t>o</w:t>
      </w:r>
      <w:r w:rsidRPr="00E339B2">
        <w:t>f Work</w:t>
      </w:r>
    </w:p>
    <w:p w14:paraId="17BD0ADC" w14:textId="77777777" w:rsidR="002A7DC3" w:rsidRDefault="002A7DC3" w:rsidP="002A7DC3">
      <w:r w:rsidRPr="00CC385F">
        <w:t>The scope of work in the base year will be focused on developing capabilities for a single domain of investigations that will be disclosed to the contractor on contract award.</w:t>
      </w:r>
    </w:p>
    <w:p w14:paraId="17BD0ADD" w14:textId="77777777" w:rsidR="002A7DC3" w:rsidRDefault="002A7DC3" w:rsidP="002A7DC3">
      <w:r>
        <w:t>The goal of the program is to deliver next generation data storage and</w:t>
      </w:r>
      <w:r w:rsidRPr="004A4C6B">
        <w:rPr>
          <w:spacing w:val="-34"/>
        </w:rPr>
        <w:t xml:space="preserve"> </w:t>
      </w:r>
      <w:r>
        <w:t xml:space="preserve">analytical capabilities to &lt;AGENCY&gt; </w:t>
      </w:r>
      <w:proofErr w:type="gramStart"/>
      <w:r>
        <w:t>in order to</w:t>
      </w:r>
      <w:proofErr w:type="gramEnd"/>
      <w:r>
        <w:t xml:space="preserve"> assist agents in their investigative</w:t>
      </w:r>
      <w:r w:rsidRPr="004A4C6B">
        <w:rPr>
          <w:spacing w:val="-19"/>
        </w:rPr>
        <w:t xml:space="preserve"> </w:t>
      </w:r>
      <w:r>
        <w:t>work.</w:t>
      </w:r>
    </w:p>
    <w:p w14:paraId="17BD0ADE" w14:textId="77777777" w:rsidR="002A7DC3" w:rsidRDefault="002A7DC3" w:rsidP="002A7DC3">
      <w:r>
        <w:t>This Statement of Work (SOW) addresses transition deliverables for the project by creating an architecture and analytic support environment that can host analytical tools and</w:t>
      </w:r>
      <w:r w:rsidRPr="004A4C6B">
        <w:rPr>
          <w:spacing w:val="-16"/>
        </w:rPr>
        <w:t xml:space="preserve"> </w:t>
      </w:r>
      <w:r>
        <w:t>data stores provided by</w:t>
      </w:r>
      <w:r w:rsidRPr="004A4C6B">
        <w:rPr>
          <w:spacing w:val="-5"/>
        </w:rPr>
        <w:t xml:space="preserve"> </w:t>
      </w:r>
      <w:r>
        <w:t>&lt;AGENCY&gt;.</w:t>
      </w:r>
    </w:p>
    <w:p w14:paraId="17BD0ADF" w14:textId="77777777" w:rsidR="002A7DC3" w:rsidRDefault="002A7DC3" w:rsidP="002A7DC3">
      <w:r>
        <w:t>Through this SOW, &lt;AGENCY&gt; seeks to create a development and testing computing cluster at &lt;AGENCY&gt; to begin the process of integrating big data analytics and storage capabilities into the &lt;AGENCY&gt; operational development environment. This development and testing compute cluster in the operational environment is expected to align</w:t>
      </w:r>
      <w:r w:rsidRPr="004A4C6B">
        <w:rPr>
          <w:spacing w:val="-7"/>
        </w:rPr>
        <w:t xml:space="preserve"> </w:t>
      </w:r>
      <w:r>
        <w:t>with</w:t>
      </w:r>
      <w:r w:rsidR="00455359">
        <w:t xml:space="preserve"> </w:t>
      </w:r>
      <w:r>
        <w:t xml:space="preserve">&lt;AGENCY&gt; privacy and information assurance policies and regulations regarding the creation and maintenance of systems technology. The resulting computing cluster and computing environment will be known as the &lt;AGENCY&gt; Big Data Environment (BDE), and will become a component of the &lt;AGENCY&gt; Data Warehouse (ODW), </w:t>
      </w:r>
      <w:proofErr w:type="gramStart"/>
      <w:r>
        <w:t>an XXX solutions</w:t>
      </w:r>
      <w:proofErr w:type="gramEnd"/>
      <w:r>
        <w:rPr>
          <w:spacing w:val="-35"/>
        </w:rPr>
        <w:t xml:space="preserve"> </w:t>
      </w:r>
      <w:r>
        <w:t>that is now under</w:t>
      </w:r>
      <w:r>
        <w:rPr>
          <w:spacing w:val="-6"/>
        </w:rPr>
        <w:t xml:space="preserve"> </w:t>
      </w:r>
      <w:r>
        <w:t>development.</w:t>
      </w:r>
    </w:p>
    <w:p w14:paraId="17BD0AE0" w14:textId="1CC7FF23" w:rsidR="002A7DC3" w:rsidRPr="00E339B2" w:rsidRDefault="00E339B2" w:rsidP="00E339B2">
      <w:pPr>
        <w:pStyle w:val="Heading1"/>
      </w:pPr>
      <w:r w:rsidRPr="00E339B2">
        <w:t xml:space="preserve">Tasks – Base Period </w:t>
      </w:r>
      <w:proofErr w:type="gramStart"/>
      <w:r w:rsidRPr="00E339B2">
        <w:t>Of</w:t>
      </w:r>
      <w:proofErr w:type="gramEnd"/>
      <w:r w:rsidRPr="00E339B2">
        <w:t xml:space="preserve"> Performance</w:t>
      </w:r>
    </w:p>
    <w:p w14:paraId="17BD0AE1" w14:textId="77777777" w:rsidR="002A7DC3" w:rsidRPr="004C0663" w:rsidRDefault="002A7DC3" w:rsidP="0094572C">
      <w:pPr>
        <w:pStyle w:val="ListParagraph"/>
        <w:numPr>
          <w:ilvl w:val="1"/>
          <w:numId w:val="11"/>
        </w:numPr>
      </w:pPr>
      <w:r w:rsidRPr="004C0663">
        <w:t>The contractor shall work with a government prototype, made of commercial server hardware and software, to create and maintain a developmental computing cluster in a development and test environment within the &lt;AGENCY&gt; IT boundary and will be required to:</w:t>
      </w:r>
    </w:p>
    <w:p w14:paraId="17BD0AE2" w14:textId="77777777" w:rsidR="002A7DC3" w:rsidRPr="000F0D32" w:rsidRDefault="002A7DC3" w:rsidP="0094572C">
      <w:pPr>
        <w:pStyle w:val="ListParagraph"/>
        <w:numPr>
          <w:ilvl w:val="0"/>
          <w:numId w:val="12"/>
        </w:numPr>
      </w:pPr>
      <w:r w:rsidRPr="000F0D32">
        <w:t xml:space="preserve">Create, configure, </w:t>
      </w:r>
      <w:r w:rsidR="00167DC6" w:rsidRPr="000F0D32">
        <w:t>maintain,</w:t>
      </w:r>
      <w:r w:rsidRPr="000F0D32">
        <w:t xml:space="preserve"> and support various commercial implementations of open source Hadoop File System (HDFS) and other related source software products that utilize the Hadoop platform.</w:t>
      </w:r>
    </w:p>
    <w:p w14:paraId="17BD0AE3" w14:textId="77777777" w:rsidR="002A7DC3" w:rsidRPr="000F0D32" w:rsidRDefault="002A7DC3" w:rsidP="00EF7042">
      <w:pPr>
        <w:pStyle w:val="ListParagraph"/>
        <w:numPr>
          <w:ilvl w:val="0"/>
          <w:numId w:val="12"/>
        </w:numPr>
      </w:pPr>
      <w:r w:rsidRPr="000F0D32">
        <w:t>Reconfigure (e.g. increase and/or decrease the number of nodes) the cluster as part of supporting server configurations or virtual machines effectively and efficiently.</w:t>
      </w:r>
    </w:p>
    <w:p w14:paraId="17BD0AE4" w14:textId="77777777" w:rsidR="002A7DC3" w:rsidRPr="000F0D32" w:rsidRDefault="002A7DC3" w:rsidP="00EF7042">
      <w:pPr>
        <w:pStyle w:val="ListParagraph"/>
        <w:numPr>
          <w:ilvl w:val="0"/>
          <w:numId w:val="12"/>
        </w:numPr>
      </w:pPr>
      <w:r w:rsidRPr="000F0D32">
        <w:t xml:space="preserve">Establish, </w:t>
      </w:r>
      <w:r w:rsidR="00167DC6" w:rsidRPr="000F0D32">
        <w:t>maintain,</w:t>
      </w:r>
      <w:r w:rsidRPr="000F0D32">
        <w:t xml:space="preserve"> and patch versions of the HDFS and software associated with HDFS as required to maintain proper function and system security </w:t>
      </w:r>
      <w:r w:rsidRPr="000F0D32">
        <w:lastRenderedPageBreak/>
        <w:t>requirements in accordance with system security guidance as provided by the &lt;AGENCY&gt; Information Systems Security Officer (ISSO) via the COR.</w:t>
      </w:r>
    </w:p>
    <w:p w14:paraId="17BD0AE5" w14:textId="77777777" w:rsidR="002A7DC3" w:rsidRDefault="002A7DC3" w:rsidP="0094572C">
      <w:pPr>
        <w:pStyle w:val="ListParagraph"/>
        <w:numPr>
          <w:ilvl w:val="1"/>
          <w:numId w:val="11"/>
        </w:numPr>
      </w:pPr>
      <w:r>
        <w:t xml:space="preserve">The contractor will be required to integrate and maintain analytics and visualization tools that directly access storage systems such as HDFS, MongoDB, and RDBMS systems. This may include additional coding and development in a common programming language (e.g. C, C++, Java, Python, etc.) to properly integrate analytics and visualization tools and software that provides new lead development capabilities for analysts, </w:t>
      </w:r>
      <w:r w:rsidR="00167DC6">
        <w:t>agents,</w:t>
      </w:r>
      <w:r>
        <w:t xml:space="preserve"> and investigators. Such integrations may involve the utilization of Ozone Widget</w:t>
      </w:r>
      <w:r w:rsidRPr="0094572C">
        <w:rPr>
          <w:spacing w:val="-19"/>
        </w:rPr>
        <w:t xml:space="preserve"> </w:t>
      </w:r>
      <w:r>
        <w:t>Framework</w:t>
      </w:r>
      <w:r w:rsidR="0094572C">
        <w:t>.</w:t>
      </w:r>
    </w:p>
    <w:p w14:paraId="17BD0AE6" w14:textId="77777777" w:rsidR="002A7DC3" w:rsidRDefault="002A7DC3" w:rsidP="002A7DC3">
      <w:pPr>
        <w:pStyle w:val="ListParagraph"/>
        <w:numPr>
          <w:ilvl w:val="1"/>
          <w:numId w:val="11"/>
        </w:numPr>
      </w:pPr>
      <w:r>
        <w:t>The contractor is required to provide a methodology and analytical approach for</w:t>
      </w:r>
      <w:r w:rsidRPr="0094572C">
        <w:rPr>
          <w:spacing w:val="-14"/>
        </w:rPr>
        <w:t xml:space="preserve"> </w:t>
      </w:r>
      <w:r>
        <w:t>migrating the &lt;AGENCY&gt; Big Data Environment (BDE) to a Production environment at &lt;AGENCY&gt;. The contractor is expected to carry out the work required to migrate the BDE system from a development and test system to a production system environment that is fully compliant with</w:t>
      </w:r>
      <w:r w:rsidRPr="0094572C">
        <w:rPr>
          <w:spacing w:val="-12"/>
        </w:rPr>
        <w:t xml:space="preserve"> </w:t>
      </w:r>
      <w:r>
        <w:t>all</w:t>
      </w:r>
      <w:r w:rsidR="0094572C">
        <w:t xml:space="preserve"> </w:t>
      </w:r>
      <w:r>
        <w:t>&lt;AGENCY&gt; and AGENCY protocols such as FISMA, FIPS, &lt;AGENCY&gt; Privacy and other compliance standards.</w:t>
      </w:r>
    </w:p>
    <w:p w14:paraId="17BD0AE7" w14:textId="77777777" w:rsidR="002A7DC3" w:rsidRDefault="002A7DC3" w:rsidP="00EF7042">
      <w:pPr>
        <w:pStyle w:val="ListParagraph"/>
        <w:numPr>
          <w:ilvl w:val="1"/>
          <w:numId w:val="11"/>
        </w:numPr>
      </w:pPr>
      <w:r>
        <w:t>The contractor is required to develop the Hadoop cluster, and any bolt-on analytic and visualization tools, in accordance with IT regulations, best practices, and requirements as provided by the &lt;AGENCY&gt; Office of the Chief Information Officer via the COR. This</w:t>
      </w:r>
      <w:r w:rsidRPr="00EF7042">
        <w:rPr>
          <w:spacing w:val="-17"/>
        </w:rPr>
        <w:t xml:space="preserve"> </w:t>
      </w:r>
      <w:r>
        <w:t>will include, but not limited</w:t>
      </w:r>
      <w:r w:rsidRPr="00EF7042">
        <w:rPr>
          <w:spacing w:val="-1"/>
        </w:rPr>
        <w:t xml:space="preserve"> </w:t>
      </w:r>
      <w:r>
        <w:t>to:</w:t>
      </w:r>
    </w:p>
    <w:p w14:paraId="17BD0AE8" w14:textId="77777777" w:rsidR="002A7DC3" w:rsidRDefault="002A7DC3" w:rsidP="00EF7042">
      <w:pPr>
        <w:pStyle w:val="ListParagraph"/>
        <w:numPr>
          <w:ilvl w:val="0"/>
          <w:numId w:val="12"/>
        </w:numPr>
      </w:pPr>
      <w:r>
        <w:t>Integration of the Hadoop cluster and visualization tool with authentication and authorization requirements provided by the BDE Information System Security ISSO (via the COR) for development and production systems that access operational</w:t>
      </w:r>
      <w:r w:rsidRPr="00EF7042">
        <w:t xml:space="preserve"> </w:t>
      </w:r>
      <w:r>
        <w:t>networks.</w:t>
      </w:r>
    </w:p>
    <w:p w14:paraId="17BD0AE9" w14:textId="77777777" w:rsidR="002A7DC3" w:rsidRDefault="002A7DC3" w:rsidP="00EF7042">
      <w:pPr>
        <w:pStyle w:val="ListParagraph"/>
        <w:numPr>
          <w:ilvl w:val="0"/>
          <w:numId w:val="12"/>
        </w:numPr>
      </w:pPr>
      <w:r>
        <w:t>Create the development and production instances of BDE in alignment with regulations provided by the BDE ISSO and the OCIO Information Assurance Division (via</w:t>
      </w:r>
      <w:r w:rsidRPr="00EF7042">
        <w:t xml:space="preserve"> </w:t>
      </w:r>
      <w:r>
        <w:t>the COR), including requirements to have the system attain Authority to Operate (ATO) and Certification and Accreditation (C&amp;A) of the</w:t>
      </w:r>
      <w:r w:rsidRPr="00EF7042">
        <w:t xml:space="preserve"> </w:t>
      </w:r>
      <w:r>
        <w:t>system.</w:t>
      </w:r>
    </w:p>
    <w:p w14:paraId="17BD0AEA" w14:textId="77777777" w:rsidR="002A7DC3" w:rsidRDefault="002A7DC3" w:rsidP="00EF7042">
      <w:pPr>
        <w:pStyle w:val="ListParagraph"/>
        <w:numPr>
          <w:ilvl w:val="0"/>
          <w:numId w:val="12"/>
        </w:numPr>
      </w:pPr>
      <w:r>
        <w:t>Ensure that all hardware and software is compliant with &lt;AGENCY&gt; security requirements, including but not limited</w:t>
      </w:r>
      <w:r w:rsidRPr="00EF7042">
        <w:t xml:space="preserve"> </w:t>
      </w:r>
      <w:r>
        <w:t>to:</w:t>
      </w:r>
    </w:p>
    <w:p w14:paraId="17BD0AEB" w14:textId="77777777" w:rsidR="002A7DC3" w:rsidRDefault="002A7DC3" w:rsidP="000F0D32">
      <w:pPr>
        <w:pStyle w:val="ListParagraph"/>
        <w:numPr>
          <w:ilvl w:val="1"/>
          <w:numId w:val="3"/>
        </w:numPr>
      </w:pPr>
      <w:r>
        <w:t>Development of security controls, in accordance with &lt;AGENCY&gt;</w:t>
      </w:r>
      <w:r w:rsidRPr="00455359">
        <w:rPr>
          <w:spacing w:val="-3"/>
        </w:rPr>
        <w:t xml:space="preserve"> </w:t>
      </w:r>
      <w:r w:rsidR="00455359">
        <w:rPr>
          <w:spacing w:val="-3"/>
        </w:rPr>
        <w:t xml:space="preserve">/ </w:t>
      </w:r>
      <w:r>
        <w:t>&lt;AGENCY&gt; configuration guides, for all operating systems and software residing on XXX.</w:t>
      </w:r>
    </w:p>
    <w:p w14:paraId="17BD0AEC" w14:textId="77777777" w:rsidR="002A7DC3" w:rsidRDefault="002A7DC3" w:rsidP="000F0D32">
      <w:pPr>
        <w:pStyle w:val="ListParagraph"/>
        <w:numPr>
          <w:ilvl w:val="1"/>
          <w:numId w:val="3"/>
        </w:numPr>
      </w:pPr>
      <w:r>
        <w:t>Maintenance and production of security and access logs as required by the</w:t>
      </w:r>
      <w:r w:rsidRPr="004A4C6B">
        <w:t xml:space="preserve"> </w:t>
      </w:r>
      <w:r>
        <w:t>BDE ISSO.</w:t>
      </w:r>
    </w:p>
    <w:p w14:paraId="17BD0AED" w14:textId="77777777" w:rsidR="002A7DC3" w:rsidRDefault="002A7DC3" w:rsidP="00AC3B17">
      <w:pPr>
        <w:pStyle w:val="ListParagraph"/>
        <w:numPr>
          <w:ilvl w:val="1"/>
          <w:numId w:val="11"/>
        </w:numPr>
      </w:pPr>
      <w:r>
        <w:t>The contractor is expected to administer the BDE system including the implementation of user</w:t>
      </w:r>
      <w:r w:rsidRPr="00AC3B17">
        <w:rPr>
          <w:spacing w:val="-12"/>
        </w:rPr>
        <w:t xml:space="preserve"> </w:t>
      </w:r>
      <w:r>
        <w:t>rights</w:t>
      </w:r>
      <w:r w:rsidRPr="00AC3B17">
        <w:rPr>
          <w:spacing w:val="-8"/>
        </w:rPr>
        <w:t xml:space="preserve"> </w:t>
      </w:r>
      <w:r>
        <w:t>and</w:t>
      </w:r>
      <w:r w:rsidRPr="00AC3B17">
        <w:rPr>
          <w:spacing w:val="-9"/>
        </w:rPr>
        <w:t xml:space="preserve"> </w:t>
      </w:r>
      <w:r>
        <w:t>access</w:t>
      </w:r>
      <w:r w:rsidRPr="00AC3B17">
        <w:rPr>
          <w:spacing w:val="-10"/>
        </w:rPr>
        <w:t xml:space="preserve"> </w:t>
      </w:r>
      <w:r>
        <w:t>management</w:t>
      </w:r>
      <w:r w:rsidRPr="00AC3B17">
        <w:rPr>
          <w:spacing w:val="-9"/>
        </w:rPr>
        <w:t xml:space="preserve"> </w:t>
      </w:r>
      <w:r>
        <w:t>for</w:t>
      </w:r>
      <w:r w:rsidRPr="00AC3B17">
        <w:rPr>
          <w:spacing w:val="-13"/>
        </w:rPr>
        <w:t xml:space="preserve"> </w:t>
      </w:r>
      <w:r>
        <w:t>the</w:t>
      </w:r>
      <w:r w:rsidRPr="00AC3B17">
        <w:rPr>
          <w:spacing w:val="-12"/>
        </w:rPr>
        <w:t xml:space="preserve"> </w:t>
      </w:r>
      <w:r>
        <w:t>Hadoop</w:t>
      </w:r>
      <w:r w:rsidRPr="00AC3B17">
        <w:rPr>
          <w:spacing w:val="-8"/>
        </w:rPr>
        <w:t xml:space="preserve"> </w:t>
      </w:r>
      <w:r>
        <w:t>cluster</w:t>
      </w:r>
      <w:r w:rsidRPr="00AC3B17">
        <w:rPr>
          <w:spacing w:val="-10"/>
        </w:rPr>
        <w:t xml:space="preserve"> </w:t>
      </w:r>
      <w:r>
        <w:t>for</w:t>
      </w:r>
      <w:r w:rsidRPr="00AC3B17">
        <w:rPr>
          <w:spacing w:val="-7"/>
        </w:rPr>
        <w:t xml:space="preserve"> </w:t>
      </w:r>
      <w:r>
        <w:lastRenderedPageBreak/>
        <w:t>&lt;AGENCY&gt;</w:t>
      </w:r>
      <w:r w:rsidRPr="00AC3B17">
        <w:rPr>
          <w:spacing w:val="-7"/>
        </w:rPr>
        <w:t xml:space="preserve"> </w:t>
      </w:r>
      <w:r>
        <w:t>users</w:t>
      </w:r>
      <w:r w:rsidRPr="00AC3B17">
        <w:rPr>
          <w:spacing w:val="-11"/>
        </w:rPr>
        <w:t xml:space="preserve"> </w:t>
      </w:r>
      <w:r>
        <w:t>for</w:t>
      </w:r>
      <w:r w:rsidRPr="00AC3B17">
        <w:rPr>
          <w:spacing w:val="-12"/>
        </w:rPr>
        <w:t xml:space="preserve"> </w:t>
      </w:r>
      <w:r>
        <w:t>the</w:t>
      </w:r>
      <w:r w:rsidRPr="00AC3B17">
        <w:rPr>
          <w:spacing w:val="-9"/>
        </w:rPr>
        <w:t xml:space="preserve"> </w:t>
      </w:r>
      <w:r>
        <w:t>duration of the</w:t>
      </w:r>
      <w:r w:rsidRPr="00AC3B17">
        <w:rPr>
          <w:spacing w:val="-24"/>
        </w:rPr>
        <w:t xml:space="preserve"> </w:t>
      </w:r>
      <w:r>
        <w:t>contract.</w:t>
      </w:r>
    </w:p>
    <w:p w14:paraId="17BD0AEE" w14:textId="77777777" w:rsidR="002A7DC3" w:rsidRDefault="002A7DC3" w:rsidP="00AC3B17">
      <w:pPr>
        <w:pStyle w:val="ListParagraph"/>
        <w:numPr>
          <w:ilvl w:val="1"/>
          <w:numId w:val="11"/>
        </w:numPr>
      </w:pPr>
      <w:r>
        <w:t>The contractor is expected to develop a web-based user interface to the Hadoop cluster that will allow access to an undefined number of visualization tools from a consolidated dashboard.</w:t>
      </w:r>
    </w:p>
    <w:p w14:paraId="17BD0AEF" w14:textId="77777777" w:rsidR="002A7DC3" w:rsidRDefault="002A7DC3" w:rsidP="00AC3B17">
      <w:pPr>
        <w:pStyle w:val="ListParagraph"/>
        <w:numPr>
          <w:ilvl w:val="1"/>
          <w:numId w:val="11"/>
        </w:numPr>
      </w:pPr>
      <w:r>
        <w:t>The contractor will be required to architect and model all data being uploaded into</w:t>
      </w:r>
      <w:r w:rsidRPr="00AC3B17">
        <w:rPr>
          <w:spacing w:val="-9"/>
        </w:rPr>
        <w:t xml:space="preserve"> </w:t>
      </w:r>
      <w:r>
        <w:t>the</w:t>
      </w:r>
      <w:r w:rsidR="00455359">
        <w:t xml:space="preserve"> </w:t>
      </w:r>
      <w:r>
        <w:t>BDE system. This will include, but not limited to:</w:t>
      </w:r>
    </w:p>
    <w:p w14:paraId="17BD0AF0" w14:textId="77777777" w:rsidR="002A7DC3" w:rsidRDefault="002A7DC3" w:rsidP="00AC3B17">
      <w:pPr>
        <w:pStyle w:val="ListParagraph"/>
        <w:numPr>
          <w:ilvl w:val="0"/>
          <w:numId w:val="12"/>
        </w:numPr>
      </w:pPr>
      <w:r>
        <w:t>Creation of a data model for data sets that &lt;AGENCY&gt; intends to upload into BDE to ensure accuracy when accessed by operational units at</w:t>
      </w:r>
      <w:r w:rsidRPr="006553FD">
        <w:t xml:space="preserve"> </w:t>
      </w:r>
      <w:r>
        <w:t>&lt;AGENCY&gt;.</w:t>
      </w:r>
    </w:p>
    <w:p w14:paraId="17BD0AF1" w14:textId="77777777" w:rsidR="002A7DC3" w:rsidRDefault="002A7DC3" w:rsidP="00AC3B17">
      <w:pPr>
        <w:pStyle w:val="ListParagraph"/>
        <w:numPr>
          <w:ilvl w:val="0"/>
          <w:numId w:val="12"/>
        </w:numPr>
      </w:pPr>
      <w:r>
        <w:t>Creation of a model that clearly depicts the data architecture that will be</w:t>
      </w:r>
      <w:r w:rsidRPr="006553FD">
        <w:t xml:space="preserve"> </w:t>
      </w:r>
      <w:r>
        <w:t>associated with the BDE</w:t>
      </w:r>
      <w:r w:rsidRPr="006553FD">
        <w:t xml:space="preserve"> </w:t>
      </w:r>
      <w:r>
        <w:t>system.</w:t>
      </w:r>
    </w:p>
    <w:p w14:paraId="17BD0AF2" w14:textId="77777777" w:rsidR="002A7DC3" w:rsidRDefault="002A7DC3" w:rsidP="00AC3B17">
      <w:pPr>
        <w:pStyle w:val="ListParagraph"/>
        <w:numPr>
          <w:ilvl w:val="1"/>
          <w:numId w:val="11"/>
        </w:numPr>
      </w:pPr>
      <w:r>
        <w:t xml:space="preserve">The contractor will be required to test, </w:t>
      </w:r>
      <w:r w:rsidR="00167DC6">
        <w:t>develop,</w:t>
      </w:r>
      <w:r>
        <w:t xml:space="preserve"> and integrate Extract, Transform</w:t>
      </w:r>
      <w:r w:rsidRPr="00AC3B17">
        <w:rPr>
          <w:spacing w:val="-15"/>
        </w:rPr>
        <w:t xml:space="preserve"> </w:t>
      </w:r>
      <w:r>
        <w:t>and Load (ETL) tools into the BDE system.</w:t>
      </w:r>
    </w:p>
    <w:p w14:paraId="17BD0AF3" w14:textId="77777777" w:rsidR="002A7DC3" w:rsidRDefault="002A7DC3" w:rsidP="00AC3B17">
      <w:pPr>
        <w:pStyle w:val="ListParagraph"/>
        <w:numPr>
          <w:ilvl w:val="1"/>
          <w:numId w:val="11"/>
        </w:numPr>
      </w:pPr>
      <w:r>
        <w:t>The contractor will be expected to support Test and Evaluation (T&amp;E) activities</w:t>
      </w:r>
      <w:r w:rsidRPr="00AC3B17">
        <w:rPr>
          <w:spacing w:val="-35"/>
        </w:rPr>
        <w:t xml:space="preserve"> </w:t>
      </w:r>
      <w:r>
        <w:t>carried out by &lt;AGENCY&gt; and &lt;AGENCY&gt; for BDE</w:t>
      </w:r>
      <w:r w:rsidRPr="00AC3B17">
        <w:rPr>
          <w:spacing w:val="-6"/>
        </w:rPr>
        <w:t xml:space="preserve"> </w:t>
      </w:r>
      <w:r>
        <w:t>system.</w:t>
      </w:r>
    </w:p>
    <w:p w14:paraId="17BD0AF4" w14:textId="77777777" w:rsidR="002A7DC3" w:rsidRDefault="002A7DC3" w:rsidP="00AC3B17">
      <w:pPr>
        <w:pStyle w:val="ListParagraph"/>
        <w:numPr>
          <w:ilvl w:val="1"/>
          <w:numId w:val="11"/>
        </w:numPr>
      </w:pPr>
      <w:r>
        <w:t xml:space="preserve">The contractor shall develop an interface between BDE and the &lt;AGENCY&gt; Data Warehouse (ODW), </w:t>
      </w:r>
      <w:proofErr w:type="gramStart"/>
      <w:r>
        <w:t>in order to</w:t>
      </w:r>
      <w:proofErr w:type="gramEnd"/>
      <w:r>
        <w:t xml:space="preserve"> import and export data to/from an SQL to a NoSQL data</w:t>
      </w:r>
      <w:r w:rsidRPr="00AC3B17">
        <w:rPr>
          <w:spacing w:val="-34"/>
        </w:rPr>
        <w:t xml:space="preserve"> </w:t>
      </w:r>
      <w:r>
        <w:t>store.</w:t>
      </w:r>
    </w:p>
    <w:p w14:paraId="17BD0AF5" w14:textId="77777777" w:rsidR="002A7DC3" w:rsidRDefault="002A7DC3" w:rsidP="00AC3B17">
      <w:pPr>
        <w:pStyle w:val="ListParagraph"/>
        <w:numPr>
          <w:ilvl w:val="1"/>
          <w:numId w:val="11"/>
        </w:numPr>
      </w:pPr>
      <w:r>
        <w:t>The contractor shall provide Database Administrator functions for the Hadoop</w:t>
      </w:r>
      <w:r w:rsidRPr="00AC3B17">
        <w:rPr>
          <w:spacing w:val="-30"/>
        </w:rPr>
        <w:t xml:space="preserve"> </w:t>
      </w:r>
      <w:r>
        <w:t>cluster, and have the knowledge and ability to address any system outages or other discrepancies associated with the</w:t>
      </w:r>
      <w:r w:rsidRPr="00AC3B17">
        <w:rPr>
          <w:spacing w:val="-1"/>
        </w:rPr>
        <w:t xml:space="preserve"> </w:t>
      </w:r>
      <w:r>
        <w:t>cluster.</w:t>
      </w:r>
    </w:p>
    <w:p w14:paraId="17BD0AF6" w14:textId="77777777" w:rsidR="002A7DC3" w:rsidRDefault="002A7DC3" w:rsidP="007B7E7A">
      <w:pPr>
        <w:pStyle w:val="ListParagraph"/>
        <w:numPr>
          <w:ilvl w:val="1"/>
          <w:numId w:val="11"/>
        </w:numPr>
      </w:pPr>
      <w:r>
        <w:t>The contractor shall participate in planning and execution of tasks that will</w:t>
      </w:r>
      <w:r w:rsidRPr="007B7E7A">
        <w:rPr>
          <w:spacing w:val="-16"/>
        </w:rPr>
        <w:t xml:space="preserve"> </w:t>
      </w:r>
      <w:r>
        <w:t>collaborate with &lt;AGENCY&gt; to develop the BDE capabilities and accommodate evolving requirements, such as the ingestion of new data sources, utilizing Agile or other relevant development processes.</w:t>
      </w:r>
    </w:p>
    <w:p w14:paraId="17BD0AF7" w14:textId="77777777" w:rsidR="002A7DC3" w:rsidRDefault="002A7DC3" w:rsidP="007B7E7A">
      <w:pPr>
        <w:pStyle w:val="ListParagraph"/>
        <w:numPr>
          <w:ilvl w:val="1"/>
          <w:numId w:val="11"/>
        </w:numPr>
      </w:pPr>
      <w:r>
        <w:t>Project Plan/Schedule. Within 30 days after award, the contractor shall provide a</w:t>
      </w:r>
      <w:r w:rsidRPr="007B7E7A">
        <w:rPr>
          <w:spacing w:val="-37"/>
        </w:rPr>
        <w:t xml:space="preserve"> </w:t>
      </w:r>
      <w:r>
        <w:t>project plan and schedule that consists</w:t>
      </w:r>
      <w:r w:rsidRPr="007B7E7A">
        <w:rPr>
          <w:spacing w:val="-2"/>
        </w:rPr>
        <w:t xml:space="preserve"> </w:t>
      </w:r>
      <w:r>
        <w:t>of:</w:t>
      </w:r>
    </w:p>
    <w:p w14:paraId="17BD0AF8" w14:textId="77777777" w:rsidR="002A7DC3" w:rsidRDefault="002A7DC3" w:rsidP="007B7E7A">
      <w:pPr>
        <w:pStyle w:val="ListParagraph"/>
        <w:numPr>
          <w:ilvl w:val="0"/>
          <w:numId w:val="12"/>
        </w:numPr>
      </w:pPr>
      <w:r>
        <w:t>Each task identified in Section III of this</w:t>
      </w:r>
      <w:r w:rsidRPr="006553FD">
        <w:t xml:space="preserve"> </w:t>
      </w:r>
      <w:r>
        <w:t>SOW.</w:t>
      </w:r>
    </w:p>
    <w:p w14:paraId="17BD0AF9" w14:textId="77777777" w:rsidR="002A7DC3" w:rsidRDefault="002A7DC3" w:rsidP="007B7E7A">
      <w:pPr>
        <w:pStyle w:val="ListParagraph"/>
        <w:numPr>
          <w:ilvl w:val="0"/>
          <w:numId w:val="12"/>
        </w:numPr>
      </w:pPr>
      <w:r>
        <w:t xml:space="preserve">Individual work elements necessary </w:t>
      </w:r>
      <w:proofErr w:type="gramStart"/>
      <w:r>
        <w:t>in order to</w:t>
      </w:r>
      <w:proofErr w:type="gramEnd"/>
      <w:r>
        <w:t xml:space="preserve"> complete each</w:t>
      </w:r>
      <w:r w:rsidRPr="006553FD">
        <w:t xml:space="preserve"> </w:t>
      </w:r>
      <w:r>
        <w:t>task.</w:t>
      </w:r>
    </w:p>
    <w:p w14:paraId="17BD0AFA" w14:textId="77777777" w:rsidR="002A7DC3" w:rsidRDefault="002A7DC3" w:rsidP="007B7E7A">
      <w:pPr>
        <w:pStyle w:val="ListParagraph"/>
        <w:numPr>
          <w:ilvl w:val="0"/>
          <w:numId w:val="12"/>
        </w:numPr>
      </w:pPr>
      <w:r>
        <w:t>Milestones associated with each work element and each task that demonstrates</w:t>
      </w:r>
      <w:r w:rsidRPr="006553FD">
        <w:t xml:space="preserve"> </w:t>
      </w:r>
      <w:r>
        <w:t>the completion of the SOW within the period of performance of the</w:t>
      </w:r>
      <w:r w:rsidRPr="006553FD">
        <w:t xml:space="preserve"> </w:t>
      </w:r>
      <w:r>
        <w:t>contract.</w:t>
      </w:r>
    </w:p>
    <w:p w14:paraId="17BD0AFB" w14:textId="77777777" w:rsidR="002A7DC3" w:rsidRDefault="002A7DC3" w:rsidP="007B7E7A">
      <w:pPr>
        <w:pStyle w:val="ListParagraph"/>
        <w:numPr>
          <w:ilvl w:val="1"/>
          <w:numId w:val="11"/>
        </w:numPr>
      </w:pPr>
      <w:r>
        <w:t xml:space="preserve">Technical Status Reports. The contractor shall provide monthly technical status reports to the COR by the 15th of first full month following award and thereafter on the 15th of each month during the period of performance of the contract. The </w:t>
      </w:r>
      <w:r>
        <w:lastRenderedPageBreak/>
        <w:t>monthly report shall be electronic and, in a format, agreed to by the COR, to be established after award. This report shall</w:t>
      </w:r>
      <w:r w:rsidRPr="007B7E7A">
        <w:rPr>
          <w:spacing w:val="-34"/>
        </w:rPr>
        <w:t xml:space="preserve"> </w:t>
      </w:r>
      <w:r>
        <w:t>include:</w:t>
      </w:r>
    </w:p>
    <w:p w14:paraId="17BD0AFC" w14:textId="77777777" w:rsidR="002A7DC3" w:rsidRDefault="002A7DC3" w:rsidP="007B7E7A">
      <w:pPr>
        <w:pStyle w:val="ListParagraph"/>
        <w:numPr>
          <w:ilvl w:val="0"/>
          <w:numId w:val="12"/>
        </w:numPr>
      </w:pPr>
      <w:r>
        <w:t>Period being</w:t>
      </w:r>
      <w:r w:rsidRPr="007B7E7A">
        <w:t xml:space="preserve"> </w:t>
      </w:r>
      <w:r>
        <w:t>reported.</w:t>
      </w:r>
    </w:p>
    <w:p w14:paraId="17BD0AFD" w14:textId="77777777" w:rsidR="002A7DC3" w:rsidRDefault="002A7DC3" w:rsidP="007B7E7A">
      <w:pPr>
        <w:pStyle w:val="ListParagraph"/>
        <w:numPr>
          <w:ilvl w:val="0"/>
          <w:numId w:val="12"/>
        </w:numPr>
      </w:pPr>
      <w:r>
        <w:t>A narrative of all contractor work performed during the previous month,</w:t>
      </w:r>
      <w:r w:rsidRPr="007B7E7A">
        <w:t xml:space="preserve"> </w:t>
      </w:r>
      <w:r>
        <w:t>including:</w:t>
      </w:r>
    </w:p>
    <w:p w14:paraId="17BD0AFE" w14:textId="77777777" w:rsidR="002A7DC3" w:rsidRDefault="002A7DC3" w:rsidP="007B7E7A">
      <w:pPr>
        <w:pStyle w:val="ListParagraph"/>
        <w:numPr>
          <w:ilvl w:val="1"/>
          <w:numId w:val="3"/>
        </w:numPr>
      </w:pPr>
      <w:r>
        <w:t>A description and assessment of technical</w:t>
      </w:r>
      <w:r w:rsidRPr="007B7E7A">
        <w:t xml:space="preserve"> </w:t>
      </w:r>
      <w:proofErr w:type="gramStart"/>
      <w:r>
        <w:t>progress;</w:t>
      </w:r>
      <w:proofErr w:type="gramEnd"/>
    </w:p>
    <w:p w14:paraId="17BD0AFF" w14:textId="77777777" w:rsidR="002A7DC3" w:rsidRDefault="002A7DC3" w:rsidP="007B7E7A">
      <w:pPr>
        <w:pStyle w:val="ListParagraph"/>
        <w:numPr>
          <w:ilvl w:val="1"/>
          <w:numId w:val="3"/>
        </w:numPr>
      </w:pPr>
      <w:r>
        <w:t xml:space="preserve">Status of each task listed in Section </w:t>
      </w:r>
      <w:r w:rsidR="00455359">
        <w:t>…</w:t>
      </w:r>
      <w:r>
        <w:t xml:space="preserve"> of the SOW with a description and overview of items and activities completed in the reporting period and planned activities for</w:t>
      </w:r>
      <w:r w:rsidRPr="007B7E7A">
        <w:t xml:space="preserve"> </w:t>
      </w:r>
      <w:r>
        <w:t xml:space="preserve">the next reporting </w:t>
      </w:r>
      <w:proofErr w:type="gramStart"/>
      <w:r>
        <w:t>period;</w:t>
      </w:r>
      <w:proofErr w:type="gramEnd"/>
    </w:p>
    <w:p w14:paraId="17BD0B00" w14:textId="77777777" w:rsidR="002A7DC3" w:rsidRDefault="002A7DC3" w:rsidP="007B7E7A">
      <w:pPr>
        <w:pStyle w:val="ListParagraph"/>
        <w:numPr>
          <w:ilvl w:val="1"/>
          <w:numId w:val="3"/>
        </w:numPr>
      </w:pPr>
      <w:r>
        <w:t>Identification of any risks and mitigation plans for those risks including</w:t>
      </w:r>
      <w:r w:rsidRPr="007B7E7A">
        <w:t xml:space="preserve"> </w:t>
      </w:r>
      <w:r>
        <w:t>any challenges and the contractor’s plans to overcome those challenges;</w:t>
      </w:r>
      <w:r w:rsidRPr="007B7E7A">
        <w:t xml:space="preserve"> </w:t>
      </w:r>
      <w:r>
        <w:t>and</w:t>
      </w:r>
    </w:p>
    <w:p w14:paraId="17BD0B01" w14:textId="77777777" w:rsidR="002A7DC3" w:rsidRDefault="002A7DC3" w:rsidP="007B7E7A">
      <w:pPr>
        <w:pStyle w:val="ListParagraph"/>
        <w:numPr>
          <w:ilvl w:val="0"/>
          <w:numId w:val="12"/>
        </w:numPr>
      </w:pPr>
      <w:r>
        <w:t>Updated Project Schedule. The contractor shall provide an updated project</w:t>
      </w:r>
      <w:r w:rsidRPr="00455359">
        <w:t xml:space="preserve"> </w:t>
      </w:r>
      <w:r>
        <w:t>schedule clearly depicting any schedule changes from the previous</w:t>
      </w:r>
      <w:r w:rsidRPr="00455359">
        <w:t xml:space="preserve"> </w:t>
      </w:r>
      <w:r>
        <w:t>submission.</w:t>
      </w:r>
    </w:p>
    <w:p w14:paraId="17BD0B02" w14:textId="77777777" w:rsidR="002A7DC3" w:rsidRDefault="002A7DC3" w:rsidP="007B7E7A">
      <w:pPr>
        <w:pStyle w:val="ListParagraph"/>
        <w:numPr>
          <w:ilvl w:val="1"/>
          <w:numId w:val="11"/>
        </w:numPr>
      </w:pPr>
      <w:r>
        <w:t>Financial Reports: The contractor shall provide monthly financial status reports by the 15th of first full month following award and thereafter on the 15th of each month during the base period of performance to the Contracting Officer and the COR. The monthly report shall be electronic and, in a format, agreed to by the Contracting Officer, to be established after</w:t>
      </w:r>
      <w:r w:rsidRPr="007B7E7A">
        <w:rPr>
          <w:spacing w:val="-33"/>
        </w:rPr>
        <w:t xml:space="preserve"> </w:t>
      </w:r>
      <w:r>
        <w:t>award.</w:t>
      </w:r>
    </w:p>
    <w:p w14:paraId="17BD0B03" w14:textId="77777777" w:rsidR="002A7DC3" w:rsidRDefault="002A7DC3" w:rsidP="007B7E7A">
      <w:pPr>
        <w:pStyle w:val="ListParagraph"/>
        <w:numPr>
          <w:ilvl w:val="0"/>
          <w:numId w:val="12"/>
        </w:numPr>
      </w:pPr>
      <w:r>
        <w:t>The first report submitted shall</w:t>
      </w:r>
      <w:r w:rsidRPr="007B7E7A">
        <w:t xml:space="preserve"> </w:t>
      </w:r>
      <w:r>
        <w:t>include:</w:t>
      </w:r>
    </w:p>
    <w:p w14:paraId="17BD0B04" w14:textId="77777777" w:rsidR="002A7DC3" w:rsidRDefault="002A7DC3" w:rsidP="007B7E7A">
      <w:pPr>
        <w:pStyle w:val="ListParagraph"/>
        <w:numPr>
          <w:ilvl w:val="1"/>
          <w:numId w:val="3"/>
        </w:numPr>
      </w:pPr>
      <w:r>
        <w:t>The obligated amount of the contract;</w:t>
      </w:r>
      <w:r w:rsidRPr="007B7E7A">
        <w:t xml:space="preserve"> </w:t>
      </w:r>
      <w:r>
        <w:t>and</w:t>
      </w:r>
    </w:p>
    <w:p w14:paraId="17BD0B05" w14:textId="77777777" w:rsidR="002A7DC3" w:rsidRDefault="002A7DC3" w:rsidP="007B7E7A">
      <w:pPr>
        <w:pStyle w:val="ListParagraph"/>
        <w:numPr>
          <w:ilvl w:val="1"/>
          <w:numId w:val="3"/>
        </w:numPr>
      </w:pPr>
      <w:r>
        <w:t>A spend plan outlining how the contractor will, by task identified in Section III</w:t>
      </w:r>
      <w:r w:rsidRPr="007B7E7A">
        <w:t xml:space="preserve"> </w:t>
      </w:r>
      <w:r>
        <w:t>of the SOW, spend the obligated amount of the</w:t>
      </w:r>
      <w:r w:rsidRPr="007B7E7A">
        <w:t xml:space="preserve"> </w:t>
      </w:r>
      <w:r>
        <w:t>contract.</w:t>
      </w:r>
    </w:p>
    <w:p w14:paraId="17BD0B06" w14:textId="77777777" w:rsidR="002A7DC3" w:rsidRDefault="002A7DC3" w:rsidP="007B7E7A">
      <w:pPr>
        <w:pStyle w:val="ListParagraph"/>
        <w:numPr>
          <w:ilvl w:val="0"/>
          <w:numId w:val="12"/>
        </w:numPr>
      </w:pPr>
      <w:r>
        <w:t>Each subsequent report shall</w:t>
      </w:r>
      <w:r w:rsidRPr="007B7E7A">
        <w:t xml:space="preserve"> </w:t>
      </w:r>
      <w:r>
        <w:t>include:</w:t>
      </w:r>
    </w:p>
    <w:p w14:paraId="17BD0B07" w14:textId="77777777" w:rsidR="002A7DC3" w:rsidRDefault="002A7DC3" w:rsidP="007B7E7A">
      <w:pPr>
        <w:pStyle w:val="ListParagraph"/>
        <w:numPr>
          <w:ilvl w:val="1"/>
          <w:numId w:val="3"/>
        </w:numPr>
      </w:pPr>
      <w:r>
        <w:t>The obligated amount of the</w:t>
      </w:r>
      <w:r w:rsidRPr="001441E8">
        <w:t xml:space="preserve"> </w:t>
      </w:r>
      <w:proofErr w:type="gramStart"/>
      <w:r>
        <w:t>contract;</w:t>
      </w:r>
      <w:proofErr w:type="gramEnd"/>
    </w:p>
    <w:p w14:paraId="17BD0B08" w14:textId="77777777" w:rsidR="002A7DC3" w:rsidRDefault="002A7DC3" w:rsidP="007B7E7A">
      <w:pPr>
        <w:pStyle w:val="ListParagraph"/>
        <w:numPr>
          <w:ilvl w:val="1"/>
          <w:numId w:val="3"/>
        </w:numPr>
      </w:pPr>
      <w:r>
        <w:t>An updated spend plan showing the original spend for each task identified in Section III of the SOW as well as any changes, clearly delineated, to the original spend</w:t>
      </w:r>
      <w:r w:rsidRPr="001441E8">
        <w:t xml:space="preserve"> </w:t>
      </w:r>
      <w:r>
        <w:t>plan Total costs incurred during the previous reporting</w:t>
      </w:r>
      <w:r w:rsidRPr="001441E8">
        <w:t xml:space="preserve"> </w:t>
      </w:r>
      <w:proofErr w:type="gramStart"/>
      <w:r>
        <w:t>period;</w:t>
      </w:r>
      <w:proofErr w:type="gramEnd"/>
    </w:p>
    <w:p w14:paraId="17BD0B09" w14:textId="77777777" w:rsidR="002A7DC3" w:rsidRDefault="002A7DC3" w:rsidP="007B7E7A">
      <w:pPr>
        <w:pStyle w:val="ListParagraph"/>
        <w:numPr>
          <w:ilvl w:val="1"/>
          <w:numId w:val="3"/>
        </w:numPr>
      </w:pPr>
      <w:r>
        <w:t>Total costs incurred the period being</w:t>
      </w:r>
      <w:r w:rsidRPr="001441E8">
        <w:t xml:space="preserve"> </w:t>
      </w:r>
      <w:proofErr w:type="gramStart"/>
      <w:r>
        <w:t>reported;</w:t>
      </w:r>
      <w:proofErr w:type="gramEnd"/>
    </w:p>
    <w:p w14:paraId="17BD0B0A" w14:textId="77777777" w:rsidR="002A7DC3" w:rsidRDefault="002A7DC3" w:rsidP="007B7E7A">
      <w:pPr>
        <w:pStyle w:val="ListParagraph"/>
        <w:numPr>
          <w:ilvl w:val="1"/>
          <w:numId w:val="3"/>
        </w:numPr>
      </w:pPr>
      <w:r>
        <w:t>Estimate of percentage complete (based on work completed, not funds spent)</w:t>
      </w:r>
      <w:r w:rsidRPr="001441E8">
        <w:t xml:space="preserve"> </w:t>
      </w:r>
      <w:r>
        <w:t>of each task identified in Section III of the SOW;</w:t>
      </w:r>
      <w:r w:rsidRPr="001441E8">
        <w:t xml:space="preserve"> </w:t>
      </w:r>
      <w:r>
        <w:t>and</w:t>
      </w:r>
    </w:p>
    <w:p w14:paraId="17BD0B0B" w14:textId="77777777" w:rsidR="002A7DC3" w:rsidRDefault="002A7DC3" w:rsidP="007B7E7A">
      <w:pPr>
        <w:pStyle w:val="ListParagraph"/>
        <w:numPr>
          <w:ilvl w:val="1"/>
          <w:numId w:val="3"/>
        </w:numPr>
      </w:pPr>
      <w:r>
        <w:lastRenderedPageBreak/>
        <w:t>A breakdown by cost element (e.g., labor, materials, indirect costs, other</w:t>
      </w:r>
      <w:r w:rsidRPr="001441E8">
        <w:t xml:space="preserve"> </w:t>
      </w:r>
      <w:r>
        <w:t>directs, travel, etc.) of costs incurred during the reporting</w:t>
      </w:r>
      <w:r w:rsidRPr="001441E8">
        <w:t xml:space="preserve"> </w:t>
      </w:r>
      <w:r>
        <w:t>period.</w:t>
      </w:r>
    </w:p>
    <w:p w14:paraId="17BD0B0C" w14:textId="77777777" w:rsidR="002A7DC3" w:rsidRDefault="002A7DC3" w:rsidP="007B7E7A">
      <w:pPr>
        <w:pStyle w:val="ListParagraph"/>
        <w:numPr>
          <w:ilvl w:val="1"/>
          <w:numId w:val="11"/>
        </w:numPr>
      </w:pPr>
      <w:r>
        <w:t xml:space="preserve">Quarterly presentation. The presentation shall consist of a summary of the design, </w:t>
      </w:r>
      <w:r w:rsidR="00167DC6">
        <w:t>implementation,</w:t>
      </w:r>
      <w:r>
        <w:t xml:space="preserve"> and functional status of BDE. It shall be completed and provided to the COR no later than three days prior to the date the Steering Group convenes. The COR will provide comments no later than one day before the Steering Group convenes. The contractor shall incorporate any comments in time to provide the completed presentation to the Steering</w:t>
      </w:r>
      <w:r w:rsidRPr="007B7E7A">
        <w:rPr>
          <w:spacing w:val="-30"/>
        </w:rPr>
        <w:t xml:space="preserve"> </w:t>
      </w:r>
      <w:r>
        <w:t>Group.</w:t>
      </w:r>
    </w:p>
    <w:p w14:paraId="17BD0B0D" w14:textId="77777777" w:rsidR="002A7DC3" w:rsidRDefault="002A7DC3" w:rsidP="007B7E7A">
      <w:pPr>
        <w:pStyle w:val="ListParagraph"/>
        <w:numPr>
          <w:ilvl w:val="1"/>
          <w:numId w:val="11"/>
        </w:numPr>
      </w:pPr>
      <w:r>
        <w:t>The contractor will provide and update technical documentation related to the</w:t>
      </w:r>
      <w:r w:rsidRPr="007B7E7A">
        <w:rPr>
          <w:spacing w:val="-9"/>
        </w:rPr>
        <w:t xml:space="preserve"> </w:t>
      </w:r>
      <w:r>
        <w:t>following items on a quarterly basis with a final set of documentation due 11 months after award of the contract:</w:t>
      </w:r>
    </w:p>
    <w:p w14:paraId="17BD0B0E" w14:textId="77777777" w:rsidR="002A7DC3" w:rsidRDefault="002A7DC3" w:rsidP="007B7E7A">
      <w:pPr>
        <w:pStyle w:val="ListParagraph"/>
        <w:numPr>
          <w:ilvl w:val="0"/>
          <w:numId w:val="12"/>
        </w:numPr>
      </w:pPr>
      <w:r>
        <w:t>Technical notes relating to the design, implementation, and development of the</w:t>
      </w:r>
      <w:r w:rsidRPr="003C70B7">
        <w:t xml:space="preserve"> </w:t>
      </w:r>
      <w:r>
        <w:t>BDE system.</w:t>
      </w:r>
    </w:p>
    <w:p w14:paraId="17BD0B0F" w14:textId="77777777" w:rsidR="002A7DC3" w:rsidRDefault="002A7DC3" w:rsidP="007B7E7A">
      <w:pPr>
        <w:pStyle w:val="ListParagraph"/>
        <w:numPr>
          <w:ilvl w:val="0"/>
          <w:numId w:val="12"/>
        </w:numPr>
      </w:pPr>
      <w:r>
        <w:t>BDE System architecture and data</w:t>
      </w:r>
      <w:r w:rsidRPr="003C70B7">
        <w:t xml:space="preserve"> </w:t>
      </w:r>
      <w:proofErr w:type="gramStart"/>
      <w:r>
        <w:t>models;</w:t>
      </w:r>
      <w:proofErr w:type="gramEnd"/>
    </w:p>
    <w:p w14:paraId="17BD0B10" w14:textId="77777777" w:rsidR="002A7DC3" w:rsidRDefault="002A7DC3" w:rsidP="007B7E7A">
      <w:pPr>
        <w:pStyle w:val="ListParagraph"/>
        <w:numPr>
          <w:ilvl w:val="0"/>
          <w:numId w:val="12"/>
        </w:numPr>
      </w:pPr>
      <w:r>
        <w:t>Transition plan that describes how the development system will be integrated and transitioned into</w:t>
      </w:r>
      <w:r w:rsidRPr="003C70B7">
        <w:t xml:space="preserve"> </w:t>
      </w:r>
      <w:proofErr w:type="gramStart"/>
      <w:r>
        <w:t>production;</w:t>
      </w:r>
      <w:proofErr w:type="gramEnd"/>
    </w:p>
    <w:p w14:paraId="17BD0B11" w14:textId="77777777" w:rsidR="002A7DC3" w:rsidRDefault="002A7DC3" w:rsidP="007B7E7A">
      <w:pPr>
        <w:pStyle w:val="ListParagraph"/>
        <w:numPr>
          <w:ilvl w:val="0"/>
          <w:numId w:val="12"/>
        </w:numPr>
      </w:pPr>
      <w:r>
        <w:t>Out year Operation and Maintenance Plan (O&amp;M) and</w:t>
      </w:r>
      <w:r w:rsidRPr="003C70B7">
        <w:t xml:space="preserve"> </w:t>
      </w:r>
      <w:proofErr w:type="gramStart"/>
      <w:r>
        <w:t>forecast;</w:t>
      </w:r>
      <w:proofErr w:type="gramEnd"/>
    </w:p>
    <w:p w14:paraId="17BD0B12" w14:textId="77777777" w:rsidR="002A7DC3" w:rsidRDefault="002A7DC3" w:rsidP="007B7E7A">
      <w:pPr>
        <w:pStyle w:val="ListParagraph"/>
        <w:numPr>
          <w:ilvl w:val="0"/>
          <w:numId w:val="12"/>
        </w:numPr>
      </w:pPr>
      <w:r>
        <w:t>Development plan that can be used to guide future data source</w:t>
      </w:r>
      <w:r w:rsidRPr="003C70B7">
        <w:t xml:space="preserve"> </w:t>
      </w:r>
      <w:proofErr w:type="gramStart"/>
      <w:r>
        <w:t>integration;</w:t>
      </w:r>
      <w:proofErr w:type="gramEnd"/>
    </w:p>
    <w:p w14:paraId="17BD0B13" w14:textId="77777777" w:rsidR="002A7DC3" w:rsidRDefault="002A7DC3" w:rsidP="007B7E7A">
      <w:pPr>
        <w:pStyle w:val="ListParagraph"/>
        <w:numPr>
          <w:ilvl w:val="0"/>
          <w:numId w:val="12"/>
        </w:numPr>
      </w:pPr>
      <w:r>
        <w:t>Interface control documents for system components and</w:t>
      </w:r>
      <w:r w:rsidRPr="003C70B7">
        <w:t xml:space="preserve"> </w:t>
      </w:r>
      <w:proofErr w:type="gramStart"/>
      <w:r>
        <w:t>networks;</w:t>
      </w:r>
      <w:proofErr w:type="gramEnd"/>
    </w:p>
    <w:p w14:paraId="17BD0B14" w14:textId="77777777" w:rsidR="002A7DC3" w:rsidRDefault="002A7DC3" w:rsidP="007B7E7A">
      <w:pPr>
        <w:pStyle w:val="ListParagraph"/>
        <w:numPr>
          <w:ilvl w:val="0"/>
          <w:numId w:val="12"/>
        </w:numPr>
      </w:pPr>
      <w:r>
        <w:t>Documentation required to meet requirements set forth in &lt;AGENCY&gt; Management</w:t>
      </w:r>
      <w:r w:rsidRPr="003C70B7">
        <w:t xml:space="preserve"> </w:t>
      </w:r>
      <w:r>
        <w:t>Directive</w:t>
      </w:r>
    </w:p>
    <w:p w14:paraId="17BD0B15" w14:textId="77777777" w:rsidR="002A7DC3" w:rsidRDefault="002A7DC3" w:rsidP="007B7E7A">
      <w:pPr>
        <w:pStyle w:val="ListParagraph"/>
        <w:numPr>
          <w:ilvl w:val="0"/>
          <w:numId w:val="12"/>
        </w:numPr>
      </w:pPr>
      <w:r>
        <w:t>Additional documentation as identified and required for OMB, FISMA and</w:t>
      </w:r>
      <w:r w:rsidRPr="003C70B7">
        <w:t xml:space="preserve"> </w:t>
      </w:r>
      <w:r>
        <w:t>internal</w:t>
      </w:r>
      <w:r w:rsidR="007B7E7A">
        <w:t xml:space="preserve"> </w:t>
      </w:r>
      <w:r>
        <w:t>&lt;AGENCY&gt; government IT projects.</w:t>
      </w:r>
    </w:p>
    <w:p w14:paraId="17BD0B16" w14:textId="77777777" w:rsidR="002A7DC3" w:rsidRDefault="002A7DC3" w:rsidP="007B7E7A">
      <w:pPr>
        <w:pStyle w:val="ListParagraph"/>
        <w:numPr>
          <w:ilvl w:val="1"/>
          <w:numId w:val="11"/>
        </w:numPr>
      </w:pPr>
      <w:r>
        <w:t>Briefing material, correspondence, memoranda. The contractor shall prepare on an as needed basis any briefing material, correspondence, and/or memoranda related to the BDE as requested by</w:t>
      </w:r>
      <w:r w:rsidRPr="007B7E7A">
        <w:rPr>
          <w:spacing w:val="-12"/>
        </w:rPr>
        <w:t xml:space="preserve"> </w:t>
      </w:r>
      <w:r>
        <w:t>COR.</w:t>
      </w:r>
    </w:p>
    <w:p w14:paraId="17BD0B17" w14:textId="77777777" w:rsidR="002A7DC3" w:rsidRDefault="002A7DC3" w:rsidP="007B7E7A">
      <w:pPr>
        <w:pStyle w:val="ListParagraph"/>
        <w:numPr>
          <w:ilvl w:val="1"/>
          <w:numId w:val="11"/>
        </w:numPr>
      </w:pPr>
      <w:r>
        <w:t>The contractor shall respond to any data calls as tasked by the</w:t>
      </w:r>
      <w:r w:rsidRPr="007B7E7A">
        <w:rPr>
          <w:spacing w:val="-22"/>
        </w:rPr>
        <w:t xml:space="preserve"> </w:t>
      </w:r>
      <w:r>
        <w:t>COR.</w:t>
      </w:r>
    </w:p>
    <w:p w14:paraId="17BD0B18" w14:textId="77777777" w:rsidR="002A7DC3" w:rsidRDefault="002A7DC3" w:rsidP="007B7E7A">
      <w:pPr>
        <w:pStyle w:val="ListParagraph"/>
        <w:numPr>
          <w:ilvl w:val="1"/>
          <w:numId w:val="11"/>
        </w:numPr>
      </w:pPr>
      <w:r>
        <w:t>At the end of the base period of performance, the contractor shall provide any work</w:t>
      </w:r>
      <w:r w:rsidRPr="007B7E7A">
        <w:rPr>
          <w:spacing w:val="-30"/>
        </w:rPr>
        <w:t xml:space="preserve"> </w:t>
      </w:r>
      <w:r>
        <w:t>first produced such as configuration scripts, security scripts, software written, user manuals, data models, interface control documents, user manuals, technical descriptions of the software and scripts, user operations manuals, system maintenance manuals, and anything else first</w:t>
      </w:r>
      <w:r w:rsidRPr="007B7E7A">
        <w:rPr>
          <w:spacing w:val="-34"/>
        </w:rPr>
        <w:t xml:space="preserve"> </w:t>
      </w:r>
      <w:r>
        <w:t>produced under this</w:t>
      </w:r>
      <w:r w:rsidRPr="007B7E7A">
        <w:rPr>
          <w:spacing w:val="-3"/>
        </w:rPr>
        <w:t xml:space="preserve"> </w:t>
      </w:r>
      <w:r>
        <w:t>contract.</w:t>
      </w:r>
    </w:p>
    <w:p w14:paraId="76CCFB79" w14:textId="590B5202" w:rsidR="00E339B2" w:rsidRPr="00E339B2" w:rsidRDefault="00E339B2" w:rsidP="00E339B2">
      <w:pPr>
        <w:pStyle w:val="Heading1"/>
      </w:pPr>
      <w:r w:rsidRPr="004A6400">
        <w:t xml:space="preserve">Tasks – Option Period </w:t>
      </w:r>
      <w:proofErr w:type="gramStart"/>
      <w:r w:rsidRPr="004A6400">
        <w:t>Of</w:t>
      </w:r>
      <w:proofErr w:type="gramEnd"/>
      <w:r w:rsidRPr="004A6400">
        <w:t xml:space="preserve"> </w:t>
      </w:r>
      <w:r w:rsidRPr="00787EDC">
        <w:t>Performance</w:t>
      </w:r>
    </w:p>
    <w:p w14:paraId="17BD0B1A" w14:textId="77777777" w:rsidR="002A7DC3" w:rsidRDefault="002A7DC3" w:rsidP="0084620F">
      <w:r>
        <w:lastRenderedPageBreak/>
        <w:t xml:space="preserve">The contractor shall perform all the same tasks as outlined in </w:t>
      </w:r>
      <w:r w:rsidR="00B10A19">
        <w:t>…</w:t>
      </w:r>
      <w:r>
        <w:t xml:space="preserve"> through </w:t>
      </w:r>
      <w:r w:rsidR="00B10A19">
        <w:t>…</w:t>
      </w:r>
      <w:r>
        <w:t xml:space="preserve"> such that the work supports two unspecified domains of investigation. Specific domains will be identified after exercise of the option.</w:t>
      </w:r>
    </w:p>
    <w:p w14:paraId="17BD0B1B" w14:textId="5A81283A" w:rsidR="002A7DC3" w:rsidRPr="004A6400" w:rsidRDefault="00E339B2" w:rsidP="001924F2">
      <w:pPr>
        <w:pStyle w:val="Heading1"/>
      </w:pPr>
      <w:r w:rsidRPr="004A6400">
        <w:t>Deliverables</w:t>
      </w:r>
    </w:p>
    <w:p w14:paraId="17BD0B1C" w14:textId="77777777" w:rsidR="00F20DA3" w:rsidRDefault="002A7DC3" w:rsidP="0067068E">
      <w:pPr>
        <w:pStyle w:val="ListParagraph"/>
        <w:numPr>
          <w:ilvl w:val="1"/>
          <w:numId w:val="34"/>
        </w:numPr>
      </w:pPr>
      <w:r>
        <w:t>Base Period. The following table depicts the deliverables required during the base</w:t>
      </w:r>
      <w:r w:rsidRPr="0067068E">
        <w:t xml:space="preserve"> </w:t>
      </w:r>
      <w:r>
        <w:t xml:space="preserve">period of performance </w:t>
      </w:r>
      <w:proofErr w:type="gramStart"/>
      <w:r>
        <w:t>as a result of</w:t>
      </w:r>
      <w:proofErr w:type="gramEnd"/>
      <w:r>
        <w:t xml:space="preserve"> the tasks outlined</w:t>
      </w:r>
      <w:r w:rsidRPr="0067068E">
        <w:t xml:space="preserve"> </w:t>
      </w:r>
      <w:r>
        <w:t>above.</w:t>
      </w:r>
    </w:p>
    <w:tbl>
      <w:tblPr>
        <w:tblStyle w:val="TableGrid"/>
        <w:tblW w:w="5000" w:type="pct"/>
        <w:tblLayout w:type="fixed"/>
        <w:tblLook w:val="04A0" w:firstRow="1" w:lastRow="0" w:firstColumn="1" w:lastColumn="0" w:noHBand="0" w:noVBand="1"/>
        <w:tblCaption w:val="Option Year Deliverables"/>
        <w:tblDescription w:val="The deliverables for option years are described in the table below."/>
      </w:tblPr>
      <w:tblGrid>
        <w:gridCol w:w="4134"/>
        <w:gridCol w:w="1982"/>
        <w:gridCol w:w="3894"/>
      </w:tblGrid>
      <w:tr w:rsidR="0019287A" w14:paraId="17BD0B20" w14:textId="77777777" w:rsidTr="0019287A">
        <w:trPr>
          <w:cantSplit/>
          <w:tblHeader/>
        </w:trPr>
        <w:tc>
          <w:tcPr>
            <w:tcW w:w="2065" w:type="pct"/>
          </w:tcPr>
          <w:p w14:paraId="17BD0B1D" w14:textId="77777777" w:rsidR="001924F2" w:rsidRPr="001924F2" w:rsidRDefault="001924F2" w:rsidP="001924F2">
            <w:pPr>
              <w:rPr>
                <w:b/>
              </w:rPr>
            </w:pPr>
            <w:r w:rsidRPr="001924F2">
              <w:rPr>
                <w:b/>
              </w:rPr>
              <w:lastRenderedPageBreak/>
              <w:t>Deliverables/Key Milestones</w:t>
            </w:r>
          </w:p>
        </w:tc>
        <w:tc>
          <w:tcPr>
            <w:tcW w:w="990" w:type="pct"/>
          </w:tcPr>
          <w:p w14:paraId="17BD0B1E" w14:textId="77777777" w:rsidR="001924F2" w:rsidRPr="001924F2" w:rsidRDefault="001924F2" w:rsidP="001924F2">
            <w:pPr>
              <w:rPr>
                <w:b/>
              </w:rPr>
            </w:pPr>
            <w:r w:rsidRPr="001924F2">
              <w:rPr>
                <w:b/>
              </w:rPr>
              <w:t>SOW Para.</w:t>
            </w:r>
          </w:p>
        </w:tc>
        <w:tc>
          <w:tcPr>
            <w:tcW w:w="1945" w:type="pct"/>
          </w:tcPr>
          <w:p w14:paraId="17BD0B1F" w14:textId="77777777" w:rsidR="001924F2" w:rsidRPr="001924F2" w:rsidRDefault="001924F2" w:rsidP="001924F2">
            <w:pPr>
              <w:rPr>
                <w:b/>
              </w:rPr>
            </w:pPr>
            <w:r w:rsidRPr="001924F2">
              <w:rPr>
                <w:b/>
              </w:rPr>
              <w:t>Due Date</w:t>
            </w:r>
          </w:p>
        </w:tc>
      </w:tr>
      <w:tr w:rsidR="0019287A" w14:paraId="17BD0B24" w14:textId="77777777" w:rsidTr="0019287A">
        <w:trPr>
          <w:cantSplit/>
          <w:tblHeader/>
        </w:trPr>
        <w:tc>
          <w:tcPr>
            <w:tcW w:w="2065" w:type="pct"/>
          </w:tcPr>
          <w:p w14:paraId="17BD0B21" w14:textId="77777777" w:rsidR="001924F2" w:rsidRPr="004F2F96" w:rsidRDefault="001924F2" w:rsidP="0034004B">
            <w:pPr>
              <w:spacing w:after="120"/>
            </w:pPr>
            <w:r w:rsidRPr="004F2F96">
              <w:t>Project Schedule</w:t>
            </w:r>
          </w:p>
        </w:tc>
        <w:tc>
          <w:tcPr>
            <w:tcW w:w="990" w:type="pct"/>
          </w:tcPr>
          <w:p w14:paraId="17BD0B22" w14:textId="77777777" w:rsidR="001924F2" w:rsidRPr="004F2F96" w:rsidRDefault="001924F2" w:rsidP="0034004B">
            <w:pPr>
              <w:spacing w:after="120"/>
            </w:pPr>
            <w:r w:rsidRPr="004F2F96">
              <w:t>TBD</w:t>
            </w:r>
          </w:p>
        </w:tc>
        <w:tc>
          <w:tcPr>
            <w:tcW w:w="1945" w:type="pct"/>
          </w:tcPr>
          <w:p w14:paraId="17BD0B23" w14:textId="77777777" w:rsidR="001924F2" w:rsidRPr="004F2F96" w:rsidRDefault="001924F2" w:rsidP="0034004B">
            <w:pPr>
              <w:spacing w:after="120"/>
            </w:pPr>
            <w:r w:rsidRPr="004F2F96">
              <w:t>30 days after award</w:t>
            </w:r>
          </w:p>
        </w:tc>
      </w:tr>
      <w:tr w:rsidR="0019287A" w14:paraId="17BD0B28" w14:textId="77777777" w:rsidTr="0019287A">
        <w:trPr>
          <w:cantSplit/>
          <w:tblHeader/>
        </w:trPr>
        <w:tc>
          <w:tcPr>
            <w:tcW w:w="2065" w:type="pct"/>
          </w:tcPr>
          <w:p w14:paraId="17BD0B25" w14:textId="77777777" w:rsidR="001924F2" w:rsidRPr="004F2F96" w:rsidRDefault="001924F2" w:rsidP="0034004B">
            <w:pPr>
              <w:spacing w:after="120"/>
            </w:pPr>
            <w:r w:rsidRPr="004F2F96">
              <w:t>Technical Status Reports</w:t>
            </w:r>
          </w:p>
        </w:tc>
        <w:tc>
          <w:tcPr>
            <w:tcW w:w="990" w:type="pct"/>
          </w:tcPr>
          <w:p w14:paraId="17BD0B26" w14:textId="77777777" w:rsidR="001924F2" w:rsidRPr="004F2F96" w:rsidRDefault="001924F2" w:rsidP="0034004B">
            <w:pPr>
              <w:spacing w:after="120"/>
            </w:pPr>
            <w:r w:rsidRPr="004F2F96">
              <w:t>TBD</w:t>
            </w:r>
          </w:p>
        </w:tc>
        <w:tc>
          <w:tcPr>
            <w:tcW w:w="1945" w:type="pct"/>
          </w:tcPr>
          <w:p w14:paraId="17BD0B27" w14:textId="77777777" w:rsidR="001924F2" w:rsidRPr="004F2F96" w:rsidRDefault="001924F2" w:rsidP="0034004B">
            <w:pPr>
              <w:spacing w:after="120"/>
            </w:pPr>
            <w:r w:rsidRPr="004F2F96">
              <w:t xml:space="preserve">Monthly, the 15th of each month during the base </w:t>
            </w:r>
            <w:r w:rsidR="0019287A">
              <w:t>POP</w:t>
            </w:r>
          </w:p>
        </w:tc>
      </w:tr>
      <w:tr w:rsidR="0019287A" w14:paraId="17BD0B2C" w14:textId="77777777" w:rsidTr="0019287A">
        <w:trPr>
          <w:cantSplit/>
          <w:tblHeader/>
        </w:trPr>
        <w:tc>
          <w:tcPr>
            <w:tcW w:w="2065" w:type="pct"/>
          </w:tcPr>
          <w:p w14:paraId="17BD0B29" w14:textId="77777777" w:rsidR="001924F2" w:rsidRPr="004F2F96" w:rsidRDefault="001924F2" w:rsidP="0034004B">
            <w:pPr>
              <w:spacing w:after="120"/>
            </w:pPr>
            <w:r w:rsidRPr="004F2F96">
              <w:t>Financial Status Reports</w:t>
            </w:r>
          </w:p>
        </w:tc>
        <w:tc>
          <w:tcPr>
            <w:tcW w:w="990" w:type="pct"/>
          </w:tcPr>
          <w:p w14:paraId="17BD0B2A" w14:textId="77777777" w:rsidR="001924F2" w:rsidRPr="004F2F96" w:rsidRDefault="001924F2" w:rsidP="0034004B">
            <w:pPr>
              <w:spacing w:after="120"/>
            </w:pPr>
            <w:r w:rsidRPr="004F2F96">
              <w:t>TBD</w:t>
            </w:r>
          </w:p>
        </w:tc>
        <w:tc>
          <w:tcPr>
            <w:tcW w:w="1945" w:type="pct"/>
          </w:tcPr>
          <w:p w14:paraId="17BD0B2B" w14:textId="77777777" w:rsidR="001924F2" w:rsidRPr="004F2F96" w:rsidRDefault="001924F2" w:rsidP="0034004B">
            <w:pPr>
              <w:spacing w:after="120"/>
            </w:pPr>
            <w:r w:rsidRPr="004F2F96">
              <w:t xml:space="preserve">Monthly, the 15th of each month during the base </w:t>
            </w:r>
            <w:r w:rsidR="0019287A">
              <w:t>POP</w:t>
            </w:r>
          </w:p>
        </w:tc>
      </w:tr>
      <w:tr w:rsidR="0019287A" w14:paraId="17BD0B30" w14:textId="77777777" w:rsidTr="0019287A">
        <w:trPr>
          <w:cantSplit/>
          <w:tblHeader/>
        </w:trPr>
        <w:tc>
          <w:tcPr>
            <w:tcW w:w="2065" w:type="pct"/>
          </w:tcPr>
          <w:p w14:paraId="17BD0B2D" w14:textId="77777777" w:rsidR="001924F2" w:rsidRPr="004F2F96" w:rsidRDefault="001924F2" w:rsidP="0034004B">
            <w:pPr>
              <w:spacing w:after="120"/>
            </w:pPr>
            <w:r w:rsidRPr="004F2F96">
              <w:t>Presentation to the Steering Group</w:t>
            </w:r>
          </w:p>
        </w:tc>
        <w:tc>
          <w:tcPr>
            <w:tcW w:w="990" w:type="pct"/>
          </w:tcPr>
          <w:p w14:paraId="17BD0B2E" w14:textId="77777777" w:rsidR="001924F2" w:rsidRPr="004F2F96" w:rsidRDefault="001924F2" w:rsidP="0034004B">
            <w:pPr>
              <w:spacing w:after="120"/>
            </w:pPr>
            <w:r w:rsidRPr="004F2F96">
              <w:t>TBD</w:t>
            </w:r>
          </w:p>
        </w:tc>
        <w:tc>
          <w:tcPr>
            <w:tcW w:w="1945" w:type="pct"/>
          </w:tcPr>
          <w:p w14:paraId="17BD0B2F" w14:textId="77777777" w:rsidR="001924F2" w:rsidRPr="004F2F96" w:rsidRDefault="001924F2" w:rsidP="0034004B">
            <w:pPr>
              <w:spacing w:after="120"/>
            </w:pPr>
            <w:r w:rsidRPr="004F2F96">
              <w:t>Quarterly as designated by the COR</w:t>
            </w:r>
          </w:p>
        </w:tc>
      </w:tr>
      <w:tr w:rsidR="0019287A" w14:paraId="17BD0B34" w14:textId="77777777" w:rsidTr="0019287A">
        <w:trPr>
          <w:cantSplit/>
          <w:tblHeader/>
        </w:trPr>
        <w:tc>
          <w:tcPr>
            <w:tcW w:w="2065" w:type="pct"/>
          </w:tcPr>
          <w:p w14:paraId="17BD0B31" w14:textId="77777777" w:rsidR="001924F2" w:rsidRPr="004F2F96" w:rsidRDefault="001924F2" w:rsidP="0034004B">
            <w:pPr>
              <w:spacing w:after="120"/>
            </w:pPr>
            <w:r w:rsidRPr="004F2F96">
              <w:t>Technical documentation outlined in …</w:t>
            </w:r>
          </w:p>
        </w:tc>
        <w:tc>
          <w:tcPr>
            <w:tcW w:w="990" w:type="pct"/>
          </w:tcPr>
          <w:p w14:paraId="17BD0B32" w14:textId="77777777" w:rsidR="001924F2" w:rsidRPr="004F2F96" w:rsidRDefault="001924F2" w:rsidP="0034004B">
            <w:pPr>
              <w:spacing w:after="120"/>
            </w:pPr>
            <w:r w:rsidRPr="004F2F96">
              <w:t>TBD</w:t>
            </w:r>
          </w:p>
        </w:tc>
        <w:tc>
          <w:tcPr>
            <w:tcW w:w="1945" w:type="pct"/>
          </w:tcPr>
          <w:p w14:paraId="17BD0B33" w14:textId="77777777" w:rsidR="001924F2" w:rsidRPr="004F2F96" w:rsidRDefault="001924F2" w:rsidP="0034004B">
            <w:pPr>
              <w:spacing w:after="120"/>
            </w:pPr>
            <w:r w:rsidRPr="004F2F96">
              <w:t>Every three months after base award</w:t>
            </w:r>
          </w:p>
        </w:tc>
      </w:tr>
      <w:tr w:rsidR="0019287A" w14:paraId="17BD0B38" w14:textId="77777777" w:rsidTr="0019287A">
        <w:trPr>
          <w:cantSplit/>
          <w:tblHeader/>
        </w:trPr>
        <w:tc>
          <w:tcPr>
            <w:tcW w:w="2065" w:type="pct"/>
          </w:tcPr>
          <w:p w14:paraId="17BD0B35" w14:textId="77777777" w:rsidR="001924F2" w:rsidRPr="004F2F96" w:rsidRDefault="001924F2" w:rsidP="0034004B">
            <w:pPr>
              <w:spacing w:after="120"/>
            </w:pPr>
            <w:r w:rsidRPr="004F2F96">
              <w:t>Final set of technical documentation outlined in …</w:t>
            </w:r>
          </w:p>
        </w:tc>
        <w:tc>
          <w:tcPr>
            <w:tcW w:w="990" w:type="pct"/>
          </w:tcPr>
          <w:p w14:paraId="17BD0B36" w14:textId="77777777" w:rsidR="001924F2" w:rsidRPr="004F2F96" w:rsidRDefault="001924F2" w:rsidP="0034004B">
            <w:pPr>
              <w:spacing w:after="120"/>
            </w:pPr>
            <w:r w:rsidRPr="004F2F96">
              <w:t>TBD</w:t>
            </w:r>
          </w:p>
        </w:tc>
        <w:tc>
          <w:tcPr>
            <w:tcW w:w="1945" w:type="pct"/>
          </w:tcPr>
          <w:p w14:paraId="17BD0B37" w14:textId="77777777" w:rsidR="001924F2" w:rsidRPr="004F2F96" w:rsidRDefault="001924F2" w:rsidP="0034004B">
            <w:pPr>
              <w:spacing w:after="120"/>
            </w:pPr>
            <w:r w:rsidRPr="004F2F96">
              <w:t>11 months after base award</w:t>
            </w:r>
          </w:p>
        </w:tc>
      </w:tr>
      <w:tr w:rsidR="0019287A" w14:paraId="17BD0B3C" w14:textId="77777777" w:rsidTr="0019287A">
        <w:trPr>
          <w:cantSplit/>
          <w:tblHeader/>
        </w:trPr>
        <w:tc>
          <w:tcPr>
            <w:tcW w:w="2065" w:type="pct"/>
          </w:tcPr>
          <w:p w14:paraId="17BD0B39" w14:textId="77777777" w:rsidR="001924F2" w:rsidRPr="004F2F96" w:rsidRDefault="001924F2" w:rsidP="0034004B">
            <w:pPr>
              <w:spacing w:after="120"/>
            </w:pPr>
            <w:r w:rsidRPr="004F2F96">
              <w:t>Government review of BDE system documentation</w:t>
            </w:r>
          </w:p>
        </w:tc>
        <w:tc>
          <w:tcPr>
            <w:tcW w:w="990" w:type="pct"/>
          </w:tcPr>
          <w:p w14:paraId="17BD0B3A" w14:textId="77777777" w:rsidR="001924F2" w:rsidRPr="004F2F96" w:rsidRDefault="001924F2" w:rsidP="0034004B">
            <w:pPr>
              <w:spacing w:after="120"/>
            </w:pPr>
            <w:r w:rsidRPr="004F2F96">
              <w:t>TBD</w:t>
            </w:r>
          </w:p>
        </w:tc>
        <w:tc>
          <w:tcPr>
            <w:tcW w:w="1945" w:type="pct"/>
          </w:tcPr>
          <w:p w14:paraId="17BD0B3B" w14:textId="77777777" w:rsidR="001924F2" w:rsidRPr="004F2F96" w:rsidRDefault="001924F2" w:rsidP="0034004B">
            <w:pPr>
              <w:spacing w:after="120"/>
            </w:pPr>
            <w:r w:rsidRPr="004F2F96">
              <w:t>11 months after base award</w:t>
            </w:r>
          </w:p>
        </w:tc>
      </w:tr>
      <w:tr w:rsidR="0019287A" w14:paraId="17BD0B40" w14:textId="77777777" w:rsidTr="0019287A">
        <w:trPr>
          <w:cantSplit/>
          <w:tblHeader/>
        </w:trPr>
        <w:tc>
          <w:tcPr>
            <w:tcW w:w="2065" w:type="pct"/>
          </w:tcPr>
          <w:p w14:paraId="17BD0B3D" w14:textId="77777777" w:rsidR="001924F2" w:rsidRPr="004F2F96" w:rsidRDefault="001924F2" w:rsidP="0034004B">
            <w:pPr>
              <w:spacing w:after="120"/>
            </w:pPr>
            <w:r w:rsidRPr="004F2F96">
              <w:t>Final/revised BDE documentation</w:t>
            </w:r>
          </w:p>
        </w:tc>
        <w:tc>
          <w:tcPr>
            <w:tcW w:w="990" w:type="pct"/>
          </w:tcPr>
          <w:p w14:paraId="17BD0B3E" w14:textId="77777777" w:rsidR="001924F2" w:rsidRPr="004F2F96" w:rsidRDefault="001924F2" w:rsidP="0034004B">
            <w:pPr>
              <w:spacing w:after="120"/>
            </w:pPr>
            <w:r w:rsidRPr="004F2F96">
              <w:t>TBD</w:t>
            </w:r>
          </w:p>
        </w:tc>
        <w:tc>
          <w:tcPr>
            <w:tcW w:w="1945" w:type="pct"/>
          </w:tcPr>
          <w:p w14:paraId="17BD0B3F" w14:textId="77777777" w:rsidR="001924F2" w:rsidRPr="004F2F96" w:rsidRDefault="001924F2" w:rsidP="0034004B">
            <w:pPr>
              <w:spacing w:after="120"/>
            </w:pPr>
            <w:r w:rsidRPr="004F2F96">
              <w:t>12 months after base award</w:t>
            </w:r>
          </w:p>
        </w:tc>
      </w:tr>
      <w:tr w:rsidR="0019287A" w14:paraId="17BD0B44" w14:textId="77777777" w:rsidTr="0019287A">
        <w:trPr>
          <w:cantSplit/>
          <w:tblHeader/>
        </w:trPr>
        <w:tc>
          <w:tcPr>
            <w:tcW w:w="2065" w:type="pct"/>
          </w:tcPr>
          <w:p w14:paraId="17BD0B41" w14:textId="77777777" w:rsidR="001924F2" w:rsidRPr="004F2F96" w:rsidRDefault="001924F2" w:rsidP="0034004B">
            <w:pPr>
              <w:spacing w:after="120"/>
            </w:pPr>
            <w:r w:rsidRPr="004F2F96">
              <w:t>Briefing material, correspondence, memoranda</w:t>
            </w:r>
          </w:p>
        </w:tc>
        <w:tc>
          <w:tcPr>
            <w:tcW w:w="990" w:type="pct"/>
          </w:tcPr>
          <w:p w14:paraId="17BD0B42" w14:textId="77777777" w:rsidR="001924F2" w:rsidRPr="004F2F96" w:rsidRDefault="001924F2" w:rsidP="0034004B">
            <w:pPr>
              <w:spacing w:after="120"/>
            </w:pPr>
            <w:r w:rsidRPr="004F2F96">
              <w:t>TBD</w:t>
            </w:r>
          </w:p>
        </w:tc>
        <w:tc>
          <w:tcPr>
            <w:tcW w:w="1945" w:type="pct"/>
          </w:tcPr>
          <w:p w14:paraId="17BD0B43" w14:textId="77777777" w:rsidR="001924F2" w:rsidRPr="004F2F96" w:rsidRDefault="001924F2" w:rsidP="0034004B">
            <w:pPr>
              <w:spacing w:after="120"/>
            </w:pPr>
            <w:r w:rsidRPr="004F2F96">
              <w:t>As requested by the COR</w:t>
            </w:r>
          </w:p>
        </w:tc>
      </w:tr>
      <w:tr w:rsidR="0019287A" w14:paraId="17BD0B48" w14:textId="77777777" w:rsidTr="0019287A">
        <w:trPr>
          <w:cantSplit/>
          <w:tblHeader/>
        </w:trPr>
        <w:tc>
          <w:tcPr>
            <w:tcW w:w="2065" w:type="pct"/>
          </w:tcPr>
          <w:p w14:paraId="17BD0B45" w14:textId="77777777" w:rsidR="001924F2" w:rsidRPr="004F2F96" w:rsidRDefault="001924F2" w:rsidP="0034004B">
            <w:pPr>
              <w:spacing w:after="120"/>
            </w:pPr>
            <w:r w:rsidRPr="004F2F96">
              <w:t>Respond to data calls</w:t>
            </w:r>
          </w:p>
        </w:tc>
        <w:tc>
          <w:tcPr>
            <w:tcW w:w="990" w:type="pct"/>
          </w:tcPr>
          <w:p w14:paraId="17BD0B46" w14:textId="77777777" w:rsidR="001924F2" w:rsidRPr="004F2F96" w:rsidRDefault="001924F2" w:rsidP="0034004B">
            <w:pPr>
              <w:spacing w:after="120"/>
            </w:pPr>
            <w:r w:rsidRPr="004F2F96">
              <w:t>TBD</w:t>
            </w:r>
          </w:p>
        </w:tc>
        <w:tc>
          <w:tcPr>
            <w:tcW w:w="1945" w:type="pct"/>
          </w:tcPr>
          <w:p w14:paraId="17BD0B47" w14:textId="77777777" w:rsidR="001924F2" w:rsidRPr="004F2F96" w:rsidRDefault="001924F2" w:rsidP="0034004B">
            <w:pPr>
              <w:spacing w:after="120"/>
            </w:pPr>
            <w:r w:rsidRPr="004F2F96">
              <w:t>As requested by the COR</w:t>
            </w:r>
          </w:p>
        </w:tc>
      </w:tr>
      <w:tr w:rsidR="0019287A" w14:paraId="17BD0B4C" w14:textId="77777777" w:rsidTr="0019287A">
        <w:trPr>
          <w:cantSplit/>
          <w:tblHeader/>
        </w:trPr>
        <w:tc>
          <w:tcPr>
            <w:tcW w:w="2065" w:type="pct"/>
          </w:tcPr>
          <w:p w14:paraId="17BD0B49" w14:textId="77777777" w:rsidR="001924F2" w:rsidRPr="004F2F96" w:rsidRDefault="001924F2" w:rsidP="0034004B">
            <w:pPr>
              <w:spacing w:after="120"/>
            </w:pPr>
            <w:r w:rsidRPr="004F2F96">
              <w:t>All items first produced under the contract</w:t>
            </w:r>
          </w:p>
        </w:tc>
        <w:tc>
          <w:tcPr>
            <w:tcW w:w="990" w:type="pct"/>
          </w:tcPr>
          <w:p w14:paraId="17BD0B4A" w14:textId="77777777" w:rsidR="001924F2" w:rsidRPr="004F2F96" w:rsidRDefault="001924F2" w:rsidP="0034004B">
            <w:pPr>
              <w:spacing w:after="120"/>
            </w:pPr>
            <w:r w:rsidRPr="004F2F96">
              <w:t>TBD</w:t>
            </w:r>
          </w:p>
        </w:tc>
        <w:tc>
          <w:tcPr>
            <w:tcW w:w="1945" w:type="pct"/>
          </w:tcPr>
          <w:p w14:paraId="17BD0B4B" w14:textId="77777777" w:rsidR="001924F2" w:rsidRDefault="001924F2" w:rsidP="0034004B">
            <w:pPr>
              <w:spacing w:after="120"/>
            </w:pPr>
            <w:r w:rsidRPr="004F2F96">
              <w:t xml:space="preserve">At the end of the base </w:t>
            </w:r>
            <w:r w:rsidR="0019287A">
              <w:t>POP</w:t>
            </w:r>
          </w:p>
        </w:tc>
      </w:tr>
    </w:tbl>
    <w:p w14:paraId="17BD0B4D" w14:textId="77777777" w:rsidR="002A7DC3" w:rsidRDefault="002A7DC3" w:rsidP="0067068E">
      <w:pPr>
        <w:pStyle w:val="ListParagraph"/>
        <w:numPr>
          <w:ilvl w:val="1"/>
          <w:numId w:val="34"/>
        </w:numPr>
      </w:pPr>
      <w:r>
        <w:t>Option Period. The following table depicts the deliverables required during the</w:t>
      </w:r>
      <w:r w:rsidRPr="0067068E">
        <w:t xml:space="preserve"> </w:t>
      </w:r>
      <w:r>
        <w:t xml:space="preserve">option period of performance </w:t>
      </w:r>
      <w:proofErr w:type="gramStart"/>
      <w:r>
        <w:t>as a result of</w:t>
      </w:r>
      <w:proofErr w:type="gramEnd"/>
      <w:r>
        <w:t xml:space="preserve"> the tasks outlined</w:t>
      </w:r>
      <w:r w:rsidRPr="0067068E">
        <w:t xml:space="preserve"> </w:t>
      </w:r>
      <w:r>
        <w:t>above.</w:t>
      </w:r>
    </w:p>
    <w:tbl>
      <w:tblPr>
        <w:tblStyle w:val="TableGrid"/>
        <w:tblW w:w="5000" w:type="pct"/>
        <w:tblLook w:val="04A0" w:firstRow="1" w:lastRow="0" w:firstColumn="1" w:lastColumn="0" w:noHBand="0" w:noVBand="1"/>
        <w:tblCaption w:val="Option Year Deliverables"/>
        <w:tblDescription w:val="Deliverables/Key Milestones SOW Para. Due Date&#10;Project Schedule TBD 30 days after award&#10;Technical Status Reports TBD Monthly, the 15th of each month during the base period of performance&#10;Financial Status Reports TBD Monthly, the 15th of each month during "/>
      </w:tblPr>
      <w:tblGrid>
        <w:gridCol w:w="3894"/>
        <w:gridCol w:w="1712"/>
        <w:gridCol w:w="4404"/>
      </w:tblGrid>
      <w:tr w:rsidR="0019287A" w14:paraId="17BD0B51" w14:textId="77777777" w:rsidTr="0019287A">
        <w:trPr>
          <w:cantSplit/>
          <w:tblHeader/>
        </w:trPr>
        <w:tc>
          <w:tcPr>
            <w:tcW w:w="1951" w:type="pct"/>
          </w:tcPr>
          <w:p w14:paraId="17BD0B4E" w14:textId="77777777" w:rsidR="0019287A" w:rsidRPr="0019287A" w:rsidRDefault="0019287A" w:rsidP="0019287A">
            <w:pPr>
              <w:rPr>
                <w:b/>
              </w:rPr>
            </w:pPr>
            <w:r w:rsidRPr="0019287A">
              <w:rPr>
                <w:b/>
              </w:rPr>
              <w:lastRenderedPageBreak/>
              <w:t>Deliverables/Key Milestones</w:t>
            </w:r>
          </w:p>
        </w:tc>
        <w:tc>
          <w:tcPr>
            <w:tcW w:w="843" w:type="pct"/>
          </w:tcPr>
          <w:p w14:paraId="17BD0B4F" w14:textId="77777777" w:rsidR="0019287A" w:rsidRPr="0019287A" w:rsidRDefault="0019287A" w:rsidP="0019287A">
            <w:pPr>
              <w:rPr>
                <w:b/>
              </w:rPr>
            </w:pPr>
            <w:r w:rsidRPr="0019287A">
              <w:rPr>
                <w:b/>
              </w:rPr>
              <w:t>SOW Para.</w:t>
            </w:r>
          </w:p>
        </w:tc>
        <w:tc>
          <w:tcPr>
            <w:tcW w:w="2207" w:type="pct"/>
          </w:tcPr>
          <w:p w14:paraId="17BD0B50" w14:textId="77777777" w:rsidR="0019287A" w:rsidRPr="0019287A" w:rsidRDefault="0019287A" w:rsidP="0019287A">
            <w:pPr>
              <w:rPr>
                <w:b/>
              </w:rPr>
            </w:pPr>
            <w:r w:rsidRPr="0019287A">
              <w:rPr>
                <w:b/>
              </w:rPr>
              <w:t>Due Date</w:t>
            </w:r>
          </w:p>
        </w:tc>
      </w:tr>
      <w:tr w:rsidR="0019287A" w14:paraId="17BD0B55" w14:textId="77777777" w:rsidTr="0019287A">
        <w:trPr>
          <w:cantSplit/>
          <w:tblHeader/>
        </w:trPr>
        <w:tc>
          <w:tcPr>
            <w:tcW w:w="1951" w:type="pct"/>
          </w:tcPr>
          <w:p w14:paraId="17BD0B52" w14:textId="77777777" w:rsidR="0019287A" w:rsidRPr="003B74D9" w:rsidRDefault="0019287A" w:rsidP="0034004B">
            <w:pPr>
              <w:spacing w:after="120"/>
            </w:pPr>
            <w:r w:rsidRPr="003B74D9">
              <w:t>Project Schedule</w:t>
            </w:r>
          </w:p>
        </w:tc>
        <w:tc>
          <w:tcPr>
            <w:tcW w:w="843" w:type="pct"/>
          </w:tcPr>
          <w:p w14:paraId="17BD0B53" w14:textId="77777777" w:rsidR="0019287A" w:rsidRPr="003B74D9" w:rsidRDefault="0019287A" w:rsidP="0034004B">
            <w:pPr>
              <w:spacing w:after="120"/>
            </w:pPr>
            <w:r w:rsidRPr="003B74D9">
              <w:t>TBD</w:t>
            </w:r>
          </w:p>
        </w:tc>
        <w:tc>
          <w:tcPr>
            <w:tcW w:w="2207" w:type="pct"/>
          </w:tcPr>
          <w:p w14:paraId="17BD0B54" w14:textId="77777777" w:rsidR="0019287A" w:rsidRPr="003B74D9" w:rsidRDefault="0019287A" w:rsidP="0034004B">
            <w:pPr>
              <w:spacing w:after="120"/>
            </w:pPr>
            <w:r w:rsidRPr="003B74D9">
              <w:t>30 days after exercise of option</w:t>
            </w:r>
          </w:p>
        </w:tc>
      </w:tr>
      <w:tr w:rsidR="0019287A" w14:paraId="17BD0B59" w14:textId="77777777" w:rsidTr="0019287A">
        <w:trPr>
          <w:cantSplit/>
          <w:tblHeader/>
        </w:trPr>
        <w:tc>
          <w:tcPr>
            <w:tcW w:w="1951" w:type="pct"/>
          </w:tcPr>
          <w:p w14:paraId="17BD0B56" w14:textId="77777777" w:rsidR="0019287A" w:rsidRPr="003B74D9" w:rsidRDefault="0019287A" w:rsidP="0034004B">
            <w:pPr>
              <w:spacing w:after="120"/>
            </w:pPr>
            <w:r w:rsidRPr="003B74D9">
              <w:t>Technical Status Reports</w:t>
            </w:r>
          </w:p>
        </w:tc>
        <w:tc>
          <w:tcPr>
            <w:tcW w:w="843" w:type="pct"/>
          </w:tcPr>
          <w:p w14:paraId="17BD0B57" w14:textId="77777777" w:rsidR="0019287A" w:rsidRPr="003B74D9" w:rsidRDefault="0019287A" w:rsidP="0034004B">
            <w:pPr>
              <w:spacing w:after="120"/>
            </w:pPr>
            <w:r w:rsidRPr="003B74D9">
              <w:t>TBD</w:t>
            </w:r>
          </w:p>
        </w:tc>
        <w:tc>
          <w:tcPr>
            <w:tcW w:w="2207" w:type="pct"/>
          </w:tcPr>
          <w:p w14:paraId="17BD0B58" w14:textId="77777777" w:rsidR="0019287A" w:rsidRPr="003B74D9" w:rsidRDefault="0019287A" w:rsidP="0034004B">
            <w:pPr>
              <w:spacing w:after="120"/>
            </w:pPr>
            <w:r w:rsidRPr="003B74D9">
              <w:t xml:space="preserve">Monthly, the 15th of each month during the option </w:t>
            </w:r>
            <w:r>
              <w:t>POP</w:t>
            </w:r>
          </w:p>
        </w:tc>
      </w:tr>
      <w:tr w:rsidR="0019287A" w14:paraId="17BD0B5D" w14:textId="77777777" w:rsidTr="0019287A">
        <w:trPr>
          <w:cantSplit/>
          <w:tblHeader/>
        </w:trPr>
        <w:tc>
          <w:tcPr>
            <w:tcW w:w="1951" w:type="pct"/>
          </w:tcPr>
          <w:p w14:paraId="17BD0B5A" w14:textId="77777777" w:rsidR="0019287A" w:rsidRPr="003B74D9" w:rsidRDefault="0019287A" w:rsidP="0034004B">
            <w:pPr>
              <w:spacing w:after="120"/>
            </w:pPr>
            <w:r w:rsidRPr="003B74D9">
              <w:t>Financial Status Reports</w:t>
            </w:r>
          </w:p>
        </w:tc>
        <w:tc>
          <w:tcPr>
            <w:tcW w:w="843" w:type="pct"/>
          </w:tcPr>
          <w:p w14:paraId="17BD0B5B" w14:textId="77777777" w:rsidR="0019287A" w:rsidRPr="003B74D9" w:rsidRDefault="0019287A" w:rsidP="0034004B">
            <w:pPr>
              <w:spacing w:after="120"/>
            </w:pPr>
            <w:r w:rsidRPr="003B74D9">
              <w:t>TBD</w:t>
            </w:r>
          </w:p>
        </w:tc>
        <w:tc>
          <w:tcPr>
            <w:tcW w:w="2207" w:type="pct"/>
          </w:tcPr>
          <w:p w14:paraId="17BD0B5C" w14:textId="77777777" w:rsidR="0019287A" w:rsidRPr="003B74D9" w:rsidRDefault="0019287A" w:rsidP="0034004B">
            <w:pPr>
              <w:spacing w:after="120"/>
            </w:pPr>
            <w:r w:rsidRPr="003B74D9">
              <w:t xml:space="preserve">Monthly, the 15th of each month during the option </w:t>
            </w:r>
            <w:r>
              <w:t>POP</w:t>
            </w:r>
          </w:p>
        </w:tc>
      </w:tr>
      <w:tr w:rsidR="0019287A" w14:paraId="17BD0B61" w14:textId="77777777" w:rsidTr="0019287A">
        <w:trPr>
          <w:cantSplit/>
          <w:tblHeader/>
        </w:trPr>
        <w:tc>
          <w:tcPr>
            <w:tcW w:w="1951" w:type="pct"/>
          </w:tcPr>
          <w:p w14:paraId="17BD0B5E" w14:textId="77777777" w:rsidR="0019287A" w:rsidRPr="003B74D9" w:rsidRDefault="0019287A" w:rsidP="0034004B">
            <w:pPr>
              <w:spacing w:after="120"/>
            </w:pPr>
            <w:r w:rsidRPr="003B74D9">
              <w:t>Presentation to the Steering Group</w:t>
            </w:r>
          </w:p>
        </w:tc>
        <w:tc>
          <w:tcPr>
            <w:tcW w:w="843" w:type="pct"/>
          </w:tcPr>
          <w:p w14:paraId="17BD0B5F" w14:textId="77777777" w:rsidR="0019287A" w:rsidRPr="003B74D9" w:rsidRDefault="0019287A" w:rsidP="0034004B">
            <w:pPr>
              <w:spacing w:after="120"/>
            </w:pPr>
            <w:r w:rsidRPr="003B74D9">
              <w:t>TBD</w:t>
            </w:r>
          </w:p>
        </w:tc>
        <w:tc>
          <w:tcPr>
            <w:tcW w:w="2207" w:type="pct"/>
          </w:tcPr>
          <w:p w14:paraId="17BD0B60" w14:textId="77777777" w:rsidR="0019287A" w:rsidRPr="003B74D9" w:rsidRDefault="0019287A" w:rsidP="0034004B">
            <w:pPr>
              <w:spacing w:after="120"/>
            </w:pPr>
            <w:r w:rsidRPr="003B74D9">
              <w:t>Quarterly as designated by the COR</w:t>
            </w:r>
          </w:p>
        </w:tc>
      </w:tr>
      <w:tr w:rsidR="0019287A" w14:paraId="17BD0B65" w14:textId="77777777" w:rsidTr="0019287A">
        <w:trPr>
          <w:cantSplit/>
          <w:tblHeader/>
        </w:trPr>
        <w:tc>
          <w:tcPr>
            <w:tcW w:w="1951" w:type="pct"/>
          </w:tcPr>
          <w:p w14:paraId="17BD0B62" w14:textId="77777777" w:rsidR="0019287A" w:rsidRPr="003B74D9" w:rsidRDefault="0019287A" w:rsidP="0034004B">
            <w:pPr>
              <w:spacing w:after="120"/>
            </w:pPr>
            <w:r w:rsidRPr="003B74D9">
              <w:t xml:space="preserve">Technical documentation outlined in </w:t>
            </w:r>
            <w:r>
              <w:t>…</w:t>
            </w:r>
          </w:p>
        </w:tc>
        <w:tc>
          <w:tcPr>
            <w:tcW w:w="843" w:type="pct"/>
          </w:tcPr>
          <w:p w14:paraId="17BD0B63" w14:textId="77777777" w:rsidR="0019287A" w:rsidRPr="003B74D9" w:rsidRDefault="0019287A" w:rsidP="0034004B">
            <w:pPr>
              <w:spacing w:after="120"/>
            </w:pPr>
            <w:r w:rsidRPr="003B74D9">
              <w:t>TBD</w:t>
            </w:r>
          </w:p>
        </w:tc>
        <w:tc>
          <w:tcPr>
            <w:tcW w:w="2207" w:type="pct"/>
          </w:tcPr>
          <w:p w14:paraId="17BD0B64" w14:textId="77777777" w:rsidR="0019287A" w:rsidRPr="003B74D9" w:rsidRDefault="0019287A" w:rsidP="0034004B">
            <w:pPr>
              <w:spacing w:after="120"/>
            </w:pPr>
            <w:r w:rsidRPr="003B74D9">
              <w:t>Every three months after exercise of the option</w:t>
            </w:r>
          </w:p>
        </w:tc>
      </w:tr>
      <w:tr w:rsidR="0019287A" w14:paraId="17BD0B69" w14:textId="77777777" w:rsidTr="0019287A">
        <w:trPr>
          <w:cantSplit/>
          <w:tblHeader/>
        </w:trPr>
        <w:tc>
          <w:tcPr>
            <w:tcW w:w="1951" w:type="pct"/>
          </w:tcPr>
          <w:p w14:paraId="17BD0B66" w14:textId="77777777" w:rsidR="0019287A" w:rsidRPr="003B74D9" w:rsidRDefault="0019287A" w:rsidP="0034004B">
            <w:pPr>
              <w:spacing w:after="120"/>
            </w:pPr>
            <w:r w:rsidRPr="003B74D9">
              <w:t>Final set of technical do</w:t>
            </w:r>
            <w:r>
              <w:t>c.</w:t>
            </w:r>
            <w:r w:rsidRPr="003B74D9">
              <w:t xml:space="preserve"> outlined in </w:t>
            </w:r>
            <w:r>
              <w:t>…</w:t>
            </w:r>
          </w:p>
        </w:tc>
        <w:tc>
          <w:tcPr>
            <w:tcW w:w="843" w:type="pct"/>
          </w:tcPr>
          <w:p w14:paraId="17BD0B67" w14:textId="77777777" w:rsidR="0019287A" w:rsidRPr="003B74D9" w:rsidRDefault="0019287A" w:rsidP="0034004B">
            <w:pPr>
              <w:spacing w:after="120"/>
            </w:pPr>
            <w:r w:rsidRPr="003B74D9">
              <w:t>TBD</w:t>
            </w:r>
          </w:p>
        </w:tc>
        <w:tc>
          <w:tcPr>
            <w:tcW w:w="2207" w:type="pct"/>
          </w:tcPr>
          <w:p w14:paraId="17BD0B68" w14:textId="77777777" w:rsidR="0019287A" w:rsidRPr="003B74D9" w:rsidRDefault="0019287A" w:rsidP="0034004B">
            <w:pPr>
              <w:spacing w:after="120"/>
            </w:pPr>
            <w:r w:rsidRPr="003B74D9">
              <w:t>11 months after exercise of the option</w:t>
            </w:r>
          </w:p>
        </w:tc>
      </w:tr>
      <w:tr w:rsidR="0019287A" w14:paraId="17BD0B6D" w14:textId="77777777" w:rsidTr="0019287A">
        <w:trPr>
          <w:cantSplit/>
          <w:tblHeader/>
        </w:trPr>
        <w:tc>
          <w:tcPr>
            <w:tcW w:w="1951" w:type="pct"/>
          </w:tcPr>
          <w:p w14:paraId="17BD0B6A" w14:textId="77777777" w:rsidR="0019287A" w:rsidRPr="003B74D9" w:rsidRDefault="0019287A" w:rsidP="0034004B">
            <w:pPr>
              <w:spacing w:after="120"/>
            </w:pPr>
            <w:r w:rsidRPr="003B74D9">
              <w:t>Government review of BDE system documentation</w:t>
            </w:r>
          </w:p>
        </w:tc>
        <w:tc>
          <w:tcPr>
            <w:tcW w:w="843" w:type="pct"/>
          </w:tcPr>
          <w:p w14:paraId="17BD0B6B" w14:textId="77777777" w:rsidR="0019287A" w:rsidRPr="003B74D9" w:rsidRDefault="0019287A" w:rsidP="0034004B">
            <w:pPr>
              <w:spacing w:after="120"/>
            </w:pPr>
            <w:r w:rsidRPr="003B74D9">
              <w:t>TBD</w:t>
            </w:r>
          </w:p>
        </w:tc>
        <w:tc>
          <w:tcPr>
            <w:tcW w:w="2207" w:type="pct"/>
          </w:tcPr>
          <w:p w14:paraId="17BD0B6C" w14:textId="77777777" w:rsidR="0019287A" w:rsidRPr="003B74D9" w:rsidRDefault="0019287A" w:rsidP="0034004B">
            <w:pPr>
              <w:spacing w:after="120"/>
            </w:pPr>
            <w:r w:rsidRPr="003B74D9">
              <w:t>11 months after exercise of the option</w:t>
            </w:r>
          </w:p>
        </w:tc>
      </w:tr>
      <w:tr w:rsidR="0019287A" w14:paraId="17BD0B71" w14:textId="77777777" w:rsidTr="0019287A">
        <w:trPr>
          <w:cantSplit/>
          <w:tblHeader/>
        </w:trPr>
        <w:tc>
          <w:tcPr>
            <w:tcW w:w="1951" w:type="pct"/>
          </w:tcPr>
          <w:p w14:paraId="17BD0B6E" w14:textId="77777777" w:rsidR="0019287A" w:rsidRPr="003B74D9" w:rsidRDefault="0019287A" w:rsidP="0034004B">
            <w:pPr>
              <w:spacing w:after="120"/>
            </w:pPr>
            <w:r w:rsidRPr="003B74D9">
              <w:t>Final/revised BDE documentation</w:t>
            </w:r>
          </w:p>
        </w:tc>
        <w:tc>
          <w:tcPr>
            <w:tcW w:w="843" w:type="pct"/>
          </w:tcPr>
          <w:p w14:paraId="17BD0B6F" w14:textId="77777777" w:rsidR="0019287A" w:rsidRPr="003B74D9" w:rsidRDefault="0019287A" w:rsidP="0034004B">
            <w:pPr>
              <w:spacing w:after="120"/>
            </w:pPr>
            <w:r w:rsidRPr="003B74D9">
              <w:t>TBD</w:t>
            </w:r>
          </w:p>
        </w:tc>
        <w:tc>
          <w:tcPr>
            <w:tcW w:w="2207" w:type="pct"/>
          </w:tcPr>
          <w:p w14:paraId="17BD0B70" w14:textId="77777777" w:rsidR="0019287A" w:rsidRPr="003B74D9" w:rsidRDefault="0019287A" w:rsidP="0034004B">
            <w:pPr>
              <w:spacing w:after="120"/>
            </w:pPr>
            <w:r w:rsidRPr="003B74D9">
              <w:t>12 months after exercise of the option</w:t>
            </w:r>
          </w:p>
        </w:tc>
      </w:tr>
      <w:tr w:rsidR="0019287A" w14:paraId="17BD0B75" w14:textId="77777777" w:rsidTr="0019287A">
        <w:trPr>
          <w:cantSplit/>
          <w:tblHeader/>
        </w:trPr>
        <w:tc>
          <w:tcPr>
            <w:tcW w:w="1951" w:type="pct"/>
          </w:tcPr>
          <w:p w14:paraId="17BD0B72" w14:textId="77777777" w:rsidR="0019287A" w:rsidRPr="003B74D9" w:rsidRDefault="0019287A" w:rsidP="0034004B">
            <w:pPr>
              <w:spacing w:after="120"/>
            </w:pPr>
            <w:r w:rsidRPr="003B74D9">
              <w:t>Briefing material, correspondence, memoranda</w:t>
            </w:r>
          </w:p>
        </w:tc>
        <w:tc>
          <w:tcPr>
            <w:tcW w:w="843" w:type="pct"/>
          </w:tcPr>
          <w:p w14:paraId="17BD0B73" w14:textId="77777777" w:rsidR="0019287A" w:rsidRPr="003B74D9" w:rsidRDefault="0019287A" w:rsidP="0034004B">
            <w:pPr>
              <w:spacing w:after="120"/>
            </w:pPr>
            <w:r w:rsidRPr="003B74D9">
              <w:t>TBD</w:t>
            </w:r>
          </w:p>
        </w:tc>
        <w:tc>
          <w:tcPr>
            <w:tcW w:w="2207" w:type="pct"/>
          </w:tcPr>
          <w:p w14:paraId="17BD0B74" w14:textId="77777777" w:rsidR="0019287A" w:rsidRPr="003B74D9" w:rsidRDefault="0019287A" w:rsidP="0034004B">
            <w:pPr>
              <w:spacing w:after="120"/>
            </w:pPr>
            <w:r w:rsidRPr="003B74D9">
              <w:t>As requested by the COR</w:t>
            </w:r>
          </w:p>
        </w:tc>
      </w:tr>
      <w:tr w:rsidR="0019287A" w14:paraId="17BD0B79" w14:textId="77777777" w:rsidTr="0019287A">
        <w:trPr>
          <w:cantSplit/>
          <w:tblHeader/>
        </w:trPr>
        <w:tc>
          <w:tcPr>
            <w:tcW w:w="1951" w:type="pct"/>
          </w:tcPr>
          <w:p w14:paraId="17BD0B76" w14:textId="77777777" w:rsidR="0019287A" w:rsidRPr="003B74D9" w:rsidRDefault="0019287A" w:rsidP="0034004B">
            <w:pPr>
              <w:spacing w:after="120"/>
            </w:pPr>
            <w:r w:rsidRPr="003B74D9">
              <w:t>Respond to data calls</w:t>
            </w:r>
          </w:p>
        </w:tc>
        <w:tc>
          <w:tcPr>
            <w:tcW w:w="843" w:type="pct"/>
          </w:tcPr>
          <w:p w14:paraId="17BD0B77" w14:textId="77777777" w:rsidR="0019287A" w:rsidRPr="003B74D9" w:rsidRDefault="0019287A" w:rsidP="0034004B">
            <w:pPr>
              <w:spacing w:after="120"/>
            </w:pPr>
            <w:r w:rsidRPr="003B74D9">
              <w:t>TBD</w:t>
            </w:r>
          </w:p>
        </w:tc>
        <w:tc>
          <w:tcPr>
            <w:tcW w:w="2207" w:type="pct"/>
          </w:tcPr>
          <w:p w14:paraId="17BD0B78" w14:textId="77777777" w:rsidR="0019287A" w:rsidRPr="003B74D9" w:rsidRDefault="0019287A" w:rsidP="0034004B">
            <w:pPr>
              <w:spacing w:after="120"/>
            </w:pPr>
            <w:r w:rsidRPr="003B74D9">
              <w:t>As requested by the COR</w:t>
            </w:r>
          </w:p>
        </w:tc>
      </w:tr>
      <w:tr w:rsidR="0019287A" w14:paraId="17BD0B7D" w14:textId="77777777" w:rsidTr="0019287A">
        <w:trPr>
          <w:cantSplit/>
          <w:tblHeader/>
        </w:trPr>
        <w:tc>
          <w:tcPr>
            <w:tcW w:w="1951" w:type="pct"/>
          </w:tcPr>
          <w:p w14:paraId="17BD0B7A" w14:textId="77777777" w:rsidR="0019287A" w:rsidRPr="003B74D9" w:rsidRDefault="0019287A" w:rsidP="0034004B">
            <w:pPr>
              <w:spacing w:after="120"/>
            </w:pPr>
            <w:r w:rsidRPr="003B74D9">
              <w:t>All items first produced under the contract</w:t>
            </w:r>
          </w:p>
        </w:tc>
        <w:tc>
          <w:tcPr>
            <w:tcW w:w="843" w:type="pct"/>
          </w:tcPr>
          <w:p w14:paraId="17BD0B7B" w14:textId="77777777" w:rsidR="0019287A" w:rsidRPr="003B74D9" w:rsidRDefault="0019287A" w:rsidP="0034004B">
            <w:pPr>
              <w:spacing w:after="120"/>
            </w:pPr>
            <w:r w:rsidRPr="003B74D9">
              <w:t>TBD</w:t>
            </w:r>
          </w:p>
        </w:tc>
        <w:tc>
          <w:tcPr>
            <w:tcW w:w="2207" w:type="pct"/>
          </w:tcPr>
          <w:p w14:paraId="17BD0B7C" w14:textId="77777777" w:rsidR="0019287A" w:rsidRDefault="0019287A" w:rsidP="0034004B">
            <w:pPr>
              <w:spacing w:after="120"/>
            </w:pPr>
            <w:r w:rsidRPr="003B74D9">
              <w:t xml:space="preserve">At the end of the option </w:t>
            </w:r>
            <w:r>
              <w:t>POP</w:t>
            </w:r>
          </w:p>
        </w:tc>
      </w:tr>
    </w:tbl>
    <w:p w14:paraId="17BD0B7E" w14:textId="77777777" w:rsidR="0019287A" w:rsidRDefault="0019287A">
      <w:pPr>
        <w:widowControl/>
        <w:autoSpaceDE/>
        <w:autoSpaceDN/>
        <w:spacing w:before="0" w:after="160" w:line="259" w:lineRule="auto"/>
        <w:ind w:left="0" w:right="0"/>
        <w:rPr>
          <w:b/>
          <w:u w:val="thick"/>
        </w:rPr>
      </w:pPr>
      <w:r>
        <w:br w:type="page"/>
      </w:r>
    </w:p>
    <w:p w14:paraId="17BD0B7F" w14:textId="1D40CA54" w:rsidR="002A7DC3" w:rsidRPr="004A6400" w:rsidRDefault="00E339B2" w:rsidP="003E52EF">
      <w:pPr>
        <w:pStyle w:val="Heading1"/>
      </w:pPr>
      <w:r w:rsidRPr="004A6400">
        <w:lastRenderedPageBreak/>
        <w:t xml:space="preserve">Period </w:t>
      </w:r>
      <w:r>
        <w:t>o</w:t>
      </w:r>
      <w:r w:rsidRPr="004A6400">
        <w:t>f Performance</w:t>
      </w:r>
    </w:p>
    <w:p w14:paraId="17BD0B80" w14:textId="77777777" w:rsidR="002A7DC3" w:rsidRDefault="002A7DC3" w:rsidP="002A7DC3">
      <w:r>
        <w:t>Base Period of Performance. The base period of performance will be one year from</w:t>
      </w:r>
      <w:r w:rsidRPr="00715CAA">
        <w:rPr>
          <w:spacing w:val="-28"/>
        </w:rPr>
        <w:t xml:space="preserve"> </w:t>
      </w:r>
      <w:r>
        <w:t>the date of</w:t>
      </w:r>
      <w:r w:rsidRPr="00715CAA">
        <w:rPr>
          <w:spacing w:val="-5"/>
        </w:rPr>
        <w:t xml:space="preserve"> </w:t>
      </w:r>
      <w:r>
        <w:t>award.</w:t>
      </w:r>
    </w:p>
    <w:p w14:paraId="17BD0B81" w14:textId="77777777" w:rsidR="002A7DC3" w:rsidRDefault="002A7DC3" w:rsidP="002A7DC3">
      <w:r>
        <w:t>Option Period of Performance. The option period of performance will be one year from</w:t>
      </w:r>
      <w:r w:rsidRPr="00715CAA">
        <w:rPr>
          <w:spacing w:val="-27"/>
        </w:rPr>
        <w:t xml:space="preserve"> </w:t>
      </w:r>
      <w:r>
        <w:t>the exercise of the</w:t>
      </w:r>
      <w:r w:rsidRPr="00715CAA">
        <w:rPr>
          <w:spacing w:val="-8"/>
        </w:rPr>
        <w:t xml:space="preserve"> </w:t>
      </w:r>
      <w:r>
        <w:t>option.</w:t>
      </w:r>
    </w:p>
    <w:p w14:paraId="17BD0B82" w14:textId="37BD3AFF" w:rsidR="002A7DC3" w:rsidRPr="004A6400" w:rsidRDefault="00E339B2" w:rsidP="000F0D32">
      <w:pPr>
        <w:pStyle w:val="Heading1"/>
      </w:pPr>
      <w:r w:rsidRPr="004A6400">
        <w:t xml:space="preserve">Place </w:t>
      </w:r>
      <w:r>
        <w:t>o</w:t>
      </w:r>
      <w:r w:rsidRPr="004A6400">
        <w:t>f Performance</w:t>
      </w:r>
    </w:p>
    <w:p w14:paraId="17BD0B83" w14:textId="77777777" w:rsidR="002A7DC3" w:rsidRDefault="002A7DC3" w:rsidP="002A7DC3">
      <w:r>
        <w:t>For development and testing, all work will be performed primarily at</w:t>
      </w:r>
      <w:r w:rsidRPr="00715CAA">
        <w:rPr>
          <w:spacing w:val="-4"/>
        </w:rPr>
        <w:t xml:space="preserve"> </w:t>
      </w:r>
      <w:r>
        <w:t>&lt;AGENCY&gt;</w:t>
      </w:r>
    </w:p>
    <w:p w14:paraId="17BD0B84" w14:textId="77777777" w:rsidR="002A7DC3" w:rsidRDefault="002A7DC3" w:rsidP="002A7DC3">
      <w:r>
        <w:t xml:space="preserve">For production, work will be performed at an alternative &lt;AGENCY&gt; location. This location will be determined </w:t>
      </w:r>
      <w:proofErr w:type="gramStart"/>
      <w:r>
        <w:t>at a later date</w:t>
      </w:r>
      <w:proofErr w:type="gramEnd"/>
      <w:r>
        <w:t>; however, the location will be in the</w:t>
      </w:r>
      <w:r w:rsidRPr="00715CAA">
        <w:rPr>
          <w:spacing w:val="-8"/>
        </w:rPr>
        <w:t xml:space="preserve"> </w:t>
      </w:r>
      <w:r>
        <w:t>XXX.</w:t>
      </w:r>
    </w:p>
    <w:p w14:paraId="17BD0B85" w14:textId="4EB570E3" w:rsidR="002A7DC3" w:rsidRPr="004A6400" w:rsidRDefault="00E339B2" w:rsidP="000F0D32">
      <w:pPr>
        <w:pStyle w:val="Heading1"/>
      </w:pPr>
      <w:r w:rsidRPr="004A6400">
        <w:t>Travel</w:t>
      </w:r>
    </w:p>
    <w:p w14:paraId="17BD0B86" w14:textId="77777777" w:rsidR="002A7DC3" w:rsidRDefault="002A7DC3" w:rsidP="002A7DC3">
      <w:r>
        <w:t>Travel may be required in the performance of the work outline in this SOW. The Government will reimburse the Contractor for travel, as required, outside of the Washington</w:t>
      </w:r>
      <w:r w:rsidRPr="00A529B6">
        <w:rPr>
          <w:spacing w:val="-31"/>
        </w:rPr>
        <w:t xml:space="preserve"> </w:t>
      </w:r>
      <w:r>
        <w:t>DC area only. All costs associated with local travel within (50) mile radius of the Contractor’s normal place of performance commuting area are not</w:t>
      </w:r>
      <w:r w:rsidRPr="00A529B6">
        <w:rPr>
          <w:spacing w:val="-6"/>
        </w:rPr>
        <w:t xml:space="preserve"> </w:t>
      </w:r>
      <w:r>
        <w:t>reimbursable</w:t>
      </w:r>
    </w:p>
    <w:p w14:paraId="17BD0B87" w14:textId="77777777" w:rsidR="002A7DC3" w:rsidRDefault="002A7DC3" w:rsidP="002A7DC3">
      <w:r>
        <w:t xml:space="preserve">The contractor shall request all travel in writing and provide the names of individuals traveling, dates, destination(s), purpose, and estimated costs. All travel is subject to advance government approval </w:t>
      </w:r>
      <w:r w:rsidRPr="00A529B6">
        <w:rPr>
          <w:spacing w:val="2"/>
        </w:rPr>
        <w:t xml:space="preserve">by </w:t>
      </w:r>
      <w:r>
        <w:t xml:space="preserve">the COR. Approval shall be provided in writing. Approved travel </w:t>
      </w:r>
      <w:r w:rsidRPr="005449E5">
        <w:t>outside of the defined local area</w:t>
      </w:r>
      <w:r w:rsidRPr="00A529B6">
        <w:rPr>
          <w:i/>
        </w:rPr>
        <w:t xml:space="preserve"> </w:t>
      </w:r>
      <w:r>
        <w:t xml:space="preserve">will be reimbursed in accordance with the limits set forth in FAR Part </w:t>
      </w:r>
      <w:r w:rsidR="005449E5">
        <w:t>…</w:t>
      </w:r>
      <w:r>
        <w:t xml:space="preserve"> and the Federal Travel Regulation</w:t>
      </w:r>
      <w:r w:rsidRPr="00A529B6">
        <w:rPr>
          <w:spacing w:val="2"/>
        </w:rPr>
        <w:t xml:space="preserve"> </w:t>
      </w:r>
      <w:r>
        <w:t>(FTR).</w:t>
      </w:r>
    </w:p>
    <w:p w14:paraId="17BD0B88" w14:textId="77777777" w:rsidR="002A7DC3" w:rsidRDefault="002A7DC3" w:rsidP="002A7DC3">
      <w:r>
        <w:t>Travel expense shall not be burdened with profit or fee, overhead, or G&amp;A. The travel costs will be minimized, to the maximum extent possible, by taking advantage of discounted airfare rates available through advance purchase. The government will only pay travel</w:t>
      </w:r>
      <w:r w:rsidRPr="00A529B6">
        <w:rPr>
          <w:spacing w:val="-35"/>
        </w:rPr>
        <w:t xml:space="preserve"> </w:t>
      </w:r>
      <w:r>
        <w:t>expenses in accordance with FTR rates.</w:t>
      </w:r>
    </w:p>
    <w:p w14:paraId="17BD0B89" w14:textId="196C6362" w:rsidR="002A7DC3" w:rsidRPr="004A6400" w:rsidRDefault="00E339B2" w:rsidP="000F0D32">
      <w:pPr>
        <w:pStyle w:val="Heading1"/>
      </w:pPr>
      <w:r w:rsidRPr="004A6400">
        <w:t>Government-Furnished Information</w:t>
      </w:r>
    </w:p>
    <w:p w14:paraId="17BD0B8A" w14:textId="77777777" w:rsidR="002A7DC3" w:rsidRDefault="007119C6" w:rsidP="002A7DC3">
      <w:r>
        <w:t>&lt;</w:t>
      </w:r>
      <w:r w:rsidR="002A7DC3">
        <w:t>AGENCY</w:t>
      </w:r>
      <w:r>
        <w:t>&gt;</w:t>
      </w:r>
      <w:r w:rsidR="002A7DC3">
        <w:t xml:space="preserve"> will provide access to Government information, </w:t>
      </w:r>
      <w:r w:rsidR="00167DC6">
        <w:t>equipment,</w:t>
      </w:r>
      <w:r w:rsidR="002A7DC3">
        <w:t xml:space="preserve"> and materials as well as technical designs for the Contractor to support work included in this SOW. Such provided information, materials, and forms shall remain the property of the Government,</w:t>
      </w:r>
      <w:r w:rsidR="002A7DC3" w:rsidRPr="00A529B6">
        <w:rPr>
          <w:spacing w:val="-15"/>
        </w:rPr>
        <w:t xml:space="preserve"> </w:t>
      </w:r>
      <w:r w:rsidR="002A7DC3">
        <w:t>unless otherwise indicated in writing by the Government, and may not be distributed beyond the Contractor’s designated, cleared, and approved project performers without prior written permission from the</w:t>
      </w:r>
      <w:r w:rsidR="002A7DC3" w:rsidRPr="00A529B6">
        <w:rPr>
          <w:spacing w:val="-2"/>
        </w:rPr>
        <w:t xml:space="preserve"> </w:t>
      </w:r>
      <w:r w:rsidR="002A7DC3">
        <w:t>COR.</w:t>
      </w:r>
    </w:p>
    <w:p w14:paraId="17BD0B8B" w14:textId="77777777" w:rsidR="002A7DC3" w:rsidRDefault="002A7DC3" w:rsidP="002A7DC3">
      <w:r>
        <w:t>The development &amp; testing computing cluster and associated software will be available</w:t>
      </w:r>
      <w:r w:rsidRPr="00A529B6">
        <w:rPr>
          <w:spacing w:val="-15"/>
        </w:rPr>
        <w:t xml:space="preserve"> </w:t>
      </w:r>
      <w:r>
        <w:t>for the Contractor for use at the Government</w:t>
      </w:r>
      <w:r w:rsidRPr="00A529B6">
        <w:rPr>
          <w:spacing w:val="-1"/>
        </w:rPr>
        <w:t xml:space="preserve"> </w:t>
      </w:r>
      <w:r>
        <w:t>facilities.</w:t>
      </w:r>
    </w:p>
    <w:p w14:paraId="17BD0B8C" w14:textId="7DD47274" w:rsidR="002A7DC3" w:rsidRPr="004A6400" w:rsidRDefault="002A7DC3" w:rsidP="000F0D32">
      <w:pPr>
        <w:pStyle w:val="Heading1"/>
      </w:pPr>
      <w:r w:rsidRPr="004A6400">
        <w:t>GOVERNMENT</w:t>
      </w:r>
      <w:r w:rsidR="00E339B2" w:rsidRPr="004A6400">
        <w:t>-</w:t>
      </w:r>
      <w:r w:rsidRPr="004A6400">
        <w:t>FURNISHED FACILITIES</w:t>
      </w:r>
      <w:r w:rsidR="00E339B2" w:rsidRPr="004A6400">
        <w:t xml:space="preserve">, </w:t>
      </w:r>
      <w:r w:rsidRPr="004A6400">
        <w:t>SUPPLIES</w:t>
      </w:r>
      <w:r w:rsidR="00E339B2" w:rsidRPr="004A6400">
        <w:t xml:space="preserve">, And </w:t>
      </w:r>
      <w:r w:rsidRPr="004A6400">
        <w:t>SERVICES</w:t>
      </w:r>
    </w:p>
    <w:p w14:paraId="17BD0B8D" w14:textId="77777777" w:rsidR="002A7DC3" w:rsidRDefault="002A7DC3" w:rsidP="002A7DC3">
      <w:r w:rsidRPr="00A529B6">
        <w:lastRenderedPageBreak/>
        <w:t xml:space="preserve">If work at government-provided facilities is necessary for the services being performed under this SOW, such facilities will be provided &lt;AGENCY&gt; Offices identified in </w:t>
      </w:r>
      <w:r w:rsidR="005449E5">
        <w:t>…</w:t>
      </w:r>
      <w:r w:rsidRPr="00A529B6">
        <w:t xml:space="preserve"> above. Parking facilities are not provided. Basic facilities such as workspace and associated operating requirements (e.g., phones, desks, utilities, desktop computers, and consumable and </w:t>
      </w:r>
      <w:proofErr w:type="gramStart"/>
      <w:r w:rsidRPr="00A529B6">
        <w:t>general purpose</w:t>
      </w:r>
      <w:proofErr w:type="gramEnd"/>
      <w:r w:rsidRPr="00A529B6">
        <w:t xml:space="preserve"> office supplies) will be provided to contract personnel that are providing support at the designated facilities</w:t>
      </w:r>
      <w:r>
        <w:t>.</w:t>
      </w:r>
    </w:p>
    <w:p w14:paraId="17BD0B8E" w14:textId="29EEFA69" w:rsidR="002A7DC3" w:rsidRPr="00B41151" w:rsidRDefault="00E339B2" w:rsidP="00B41151">
      <w:pPr>
        <w:pStyle w:val="Heading1"/>
      </w:pPr>
      <w:r w:rsidRPr="00B41151">
        <w:t>Security</w:t>
      </w:r>
    </w:p>
    <w:p w14:paraId="17BD0B8F" w14:textId="77777777" w:rsidR="002A7DC3" w:rsidRDefault="002A7DC3" w:rsidP="0034004B">
      <w:r>
        <w:t>XXX</w:t>
      </w:r>
    </w:p>
    <w:p w14:paraId="17BD0B90" w14:textId="53F18298" w:rsidR="002A7DC3" w:rsidRPr="004A6400" w:rsidRDefault="00E339B2" w:rsidP="00674244">
      <w:pPr>
        <w:pStyle w:val="Heading1"/>
        <w:numPr>
          <w:ilvl w:val="0"/>
          <w:numId w:val="0"/>
        </w:numPr>
        <w:ind w:left="346"/>
      </w:pPr>
      <w:proofErr w:type="spellStart"/>
      <w:r w:rsidRPr="004A6400">
        <w:t>Xii</w:t>
      </w:r>
      <w:proofErr w:type="spellEnd"/>
      <w:r w:rsidRPr="004A6400">
        <w:t xml:space="preserve">. Points </w:t>
      </w:r>
      <w:r w:rsidR="0034004B">
        <w:t>o</w:t>
      </w:r>
      <w:r w:rsidRPr="004A6400">
        <w:t>f Contact</w:t>
      </w:r>
    </w:p>
    <w:p w14:paraId="17BD0B92" w14:textId="57CE92C4" w:rsidR="00886347" w:rsidRDefault="002A7DC3" w:rsidP="0034004B">
      <w:r>
        <w:t>XXX</w:t>
      </w:r>
    </w:p>
    <w:sectPr w:rsidR="00886347" w:rsidSect="0038464B">
      <w:pgSz w:w="12240" w:h="15840"/>
      <w:pgMar w:top="900" w:right="1120" w:bottom="280" w:left="11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7C4D3" w14:textId="77777777" w:rsidR="00E4350E" w:rsidRDefault="00E4350E">
      <w:pPr>
        <w:spacing w:before="0" w:after="0"/>
      </w:pPr>
      <w:r>
        <w:separator/>
      </w:r>
    </w:p>
  </w:endnote>
  <w:endnote w:type="continuationSeparator" w:id="0">
    <w:p w14:paraId="4A72DB6A" w14:textId="77777777" w:rsidR="00E4350E" w:rsidRDefault="00E435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539173"/>
      <w:docPartObj>
        <w:docPartGallery w:val="Page Numbers (Bottom of Page)"/>
        <w:docPartUnique/>
      </w:docPartObj>
    </w:sdtPr>
    <w:sdtEndPr>
      <w:rPr>
        <w:noProof/>
      </w:rPr>
    </w:sdtEndPr>
    <w:sdtContent>
      <w:p w14:paraId="373E087F" w14:textId="535F1DC9" w:rsidR="00F14091" w:rsidRDefault="00F140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D38872" w14:textId="77777777" w:rsidR="00F14091" w:rsidRDefault="00F14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9171302"/>
      <w:docPartObj>
        <w:docPartGallery w:val="Page Numbers (Bottom of Page)"/>
        <w:docPartUnique/>
      </w:docPartObj>
    </w:sdtPr>
    <w:sdtEndPr>
      <w:rPr>
        <w:noProof/>
      </w:rPr>
    </w:sdtEndPr>
    <w:sdtContent>
      <w:p w14:paraId="2CB2785F" w14:textId="58EB2706" w:rsidR="00F14091" w:rsidRDefault="00F140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D33701" w14:textId="77777777" w:rsidR="00F14091" w:rsidRDefault="00F14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AB3B0C" w14:textId="77777777" w:rsidR="00E4350E" w:rsidRDefault="00E4350E">
      <w:pPr>
        <w:spacing w:before="0" w:after="0"/>
      </w:pPr>
      <w:r>
        <w:separator/>
      </w:r>
    </w:p>
  </w:footnote>
  <w:footnote w:type="continuationSeparator" w:id="0">
    <w:p w14:paraId="0BE63B6A" w14:textId="77777777" w:rsidR="00E4350E" w:rsidRDefault="00E4350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65418"/>
    <w:multiLevelType w:val="multilevel"/>
    <w:tmpl w:val="052E1486"/>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DB31C05"/>
    <w:multiLevelType w:val="hybridMultilevel"/>
    <w:tmpl w:val="467C53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610F4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D956D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1DD338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B266C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18B3B61"/>
    <w:multiLevelType w:val="hybridMultilevel"/>
    <w:tmpl w:val="95729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47E6283"/>
    <w:multiLevelType w:val="hybridMultilevel"/>
    <w:tmpl w:val="6CD4733C"/>
    <w:lvl w:ilvl="0" w:tplc="45DA4060">
      <w:start w:val="1"/>
      <w:numFmt w:val="upperRoman"/>
      <w:pStyle w:val="Heading1"/>
      <w:suff w:val="space"/>
      <w:lvlText w:val="%1."/>
      <w:lvlJc w:val="left"/>
      <w:pPr>
        <w:ind w:left="611" w:hanging="272"/>
      </w:pPr>
      <w:rPr>
        <w:rFonts w:ascii="Times New Roman" w:eastAsia="Times New Roman" w:hAnsi="Times New Roman" w:cs="Times New Roman" w:hint="default"/>
        <w:b/>
        <w:bCs/>
        <w:spacing w:val="-3"/>
        <w:w w:val="97"/>
        <w:sz w:val="24"/>
        <w:szCs w:val="24"/>
        <w:lang w:val="en-US" w:eastAsia="en-US" w:bidi="en-US"/>
      </w:rPr>
    </w:lvl>
    <w:lvl w:ilvl="1" w:tplc="75641B52">
      <w:numFmt w:val="bullet"/>
      <w:lvlText w:val="•"/>
      <w:lvlJc w:val="left"/>
      <w:pPr>
        <w:ind w:left="1560" w:hanging="272"/>
      </w:pPr>
      <w:rPr>
        <w:rFonts w:hint="default"/>
        <w:lang w:val="en-US" w:eastAsia="en-US" w:bidi="en-US"/>
      </w:rPr>
    </w:lvl>
    <w:lvl w:ilvl="2" w:tplc="8D5CAF2E">
      <w:numFmt w:val="bullet"/>
      <w:lvlText w:val="•"/>
      <w:lvlJc w:val="left"/>
      <w:pPr>
        <w:ind w:left="2500" w:hanging="272"/>
      </w:pPr>
      <w:rPr>
        <w:rFonts w:hint="default"/>
        <w:lang w:val="en-US" w:eastAsia="en-US" w:bidi="en-US"/>
      </w:rPr>
    </w:lvl>
    <w:lvl w:ilvl="3" w:tplc="2B3E591C">
      <w:numFmt w:val="bullet"/>
      <w:lvlText w:val="•"/>
      <w:lvlJc w:val="left"/>
      <w:pPr>
        <w:ind w:left="3440" w:hanging="272"/>
      </w:pPr>
      <w:rPr>
        <w:rFonts w:hint="default"/>
        <w:lang w:val="en-US" w:eastAsia="en-US" w:bidi="en-US"/>
      </w:rPr>
    </w:lvl>
    <w:lvl w:ilvl="4" w:tplc="074C33FC">
      <w:numFmt w:val="bullet"/>
      <w:lvlText w:val="•"/>
      <w:lvlJc w:val="left"/>
      <w:pPr>
        <w:ind w:left="4380" w:hanging="272"/>
      </w:pPr>
      <w:rPr>
        <w:rFonts w:hint="default"/>
        <w:lang w:val="en-US" w:eastAsia="en-US" w:bidi="en-US"/>
      </w:rPr>
    </w:lvl>
    <w:lvl w:ilvl="5" w:tplc="B764F530">
      <w:numFmt w:val="bullet"/>
      <w:lvlText w:val="•"/>
      <w:lvlJc w:val="left"/>
      <w:pPr>
        <w:ind w:left="5320" w:hanging="272"/>
      </w:pPr>
      <w:rPr>
        <w:rFonts w:hint="default"/>
        <w:lang w:val="en-US" w:eastAsia="en-US" w:bidi="en-US"/>
      </w:rPr>
    </w:lvl>
    <w:lvl w:ilvl="6" w:tplc="FE14F6A2">
      <w:numFmt w:val="bullet"/>
      <w:lvlText w:val="•"/>
      <w:lvlJc w:val="left"/>
      <w:pPr>
        <w:ind w:left="6260" w:hanging="272"/>
      </w:pPr>
      <w:rPr>
        <w:rFonts w:hint="default"/>
        <w:lang w:val="en-US" w:eastAsia="en-US" w:bidi="en-US"/>
      </w:rPr>
    </w:lvl>
    <w:lvl w:ilvl="7" w:tplc="3FBED2B2">
      <w:numFmt w:val="bullet"/>
      <w:lvlText w:val="•"/>
      <w:lvlJc w:val="left"/>
      <w:pPr>
        <w:ind w:left="7200" w:hanging="272"/>
      </w:pPr>
      <w:rPr>
        <w:rFonts w:hint="default"/>
        <w:lang w:val="en-US" w:eastAsia="en-US" w:bidi="en-US"/>
      </w:rPr>
    </w:lvl>
    <w:lvl w:ilvl="8" w:tplc="6D969A66">
      <w:numFmt w:val="bullet"/>
      <w:lvlText w:val="•"/>
      <w:lvlJc w:val="left"/>
      <w:pPr>
        <w:ind w:left="8140" w:hanging="272"/>
      </w:pPr>
      <w:rPr>
        <w:rFonts w:hint="default"/>
        <w:lang w:val="en-US" w:eastAsia="en-US" w:bidi="en-US"/>
      </w:rPr>
    </w:lvl>
  </w:abstractNum>
  <w:abstractNum w:abstractNumId="8" w15:restartNumberingAfterBreak="0">
    <w:nsid w:val="46835C57"/>
    <w:multiLevelType w:val="hybridMultilevel"/>
    <w:tmpl w:val="42621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43FEC"/>
    <w:multiLevelType w:val="hybridMultilevel"/>
    <w:tmpl w:val="A7B66420"/>
    <w:lvl w:ilvl="0" w:tplc="7DAEEA46">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4CB15D67"/>
    <w:multiLevelType w:val="hybridMultilevel"/>
    <w:tmpl w:val="2452A250"/>
    <w:lvl w:ilvl="0" w:tplc="00F63C1E">
      <w:start w:val="3"/>
      <w:numFmt w:val="decimal"/>
      <w:lvlText w:val="%1."/>
      <w:lvlJc w:val="left"/>
      <w:pPr>
        <w:ind w:left="69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FA6952"/>
    <w:multiLevelType w:val="hybridMultilevel"/>
    <w:tmpl w:val="DD348C76"/>
    <w:lvl w:ilvl="0" w:tplc="04090001">
      <w:start w:val="1"/>
      <w:numFmt w:val="bullet"/>
      <w:lvlText w:val=""/>
      <w:lvlJc w:val="left"/>
      <w:pPr>
        <w:ind w:left="460" w:hanging="360"/>
      </w:pPr>
      <w:rPr>
        <w:rFonts w:ascii="Symbol" w:hAnsi="Symbo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7273666F"/>
    <w:multiLevelType w:val="multilevel"/>
    <w:tmpl w:val="052E1486"/>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7850C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BFD65B3"/>
    <w:multiLevelType w:val="hybridMultilevel"/>
    <w:tmpl w:val="A6988050"/>
    <w:lvl w:ilvl="0" w:tplc="04090001">
      <w:start w:val="1"/>
      <w:numFmt w:val="bullet"/>
      <w:lvlText w:val=""/>
      <w:lvlJc w:val="left"/>
      <w:pPr>
        <w:ind w:left="460" w:hanging="360"/>
      </w:pPr>
      <w:rPr>
        <w:rFonts w:ascii="Symbol" w:hAnsi="Symbo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7D2432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9"/>
  </w:num>
  <w:num w:numId="3">
    <w:abstractNumId w:val="8"/>
  </w:num>
  <w:num w:numId="4">
    <w:abstractNumId w:val="11"/>
  </w:num>
  <w:num w:numId="5">
    <w:abstractNumId w:val="14"/>
  </w:num>
  <w:num w:numId="6">
    <w:abstractNumId w:val="0"/>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
  </w:num>
  <w:num w:numId="10">
    <w:abstractNumId w:val="10"/>
  </w:num>
  <w:num w:numId="11">
    <w:abstractNumId w:val="13"/>
  </w:num>
  <w:num w:numId="12">
    <w:abstractNumId w:val="6"/>
  </w:num>
  <w:num w:numId="13">
    <w:abstractNumId w:val="9"/>
  </w:num>
  <w:num w:numId="14">
    <w:abstractNumId w:val="9"/>
  </w:num>
  <w:num w:numId="15">
    <w:abstractNumId w:val="2"/>
  </w:num>
  <w:num w:numId="16">
    <w:abstractNumId w:val="9"/>
  </w:num>
  <w:num w:numId="17">
    <w:abstractNumId w:val="15"/>
  </w:num>
  <w:num w:numId="18">
    <w:abstractNumId w:val="9"/>
  </w:num>
  <w:num w:numId="19">
    <w:abstractNumId w:val="5"/>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4"/>
  </w:num>
  <w:num w:numId="31">
    <w:abstractNumId w:val="7"/>
  </w:num>
  <w:num w:numId="32">
    <w:abstractNumId w:val="7"/>
  </w:num>
  <w:num w:numId="33">
    <w:abstractNumId w:val="9"/>
  </w:num>
  <w:num w:numId="34">
    <w:abstractNumId w:val="3"/>
  </w:num>
  <w:num w:numId="35">
    <w:abstractNumId w:val="9"/>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DC3"/>
    <w:rsid w:val="000829D7"/>
    <w:rsid w:val="000F0D32"/>
    <w:rsid w:val="00167DC6"/>
    <w:rsid w:val="001924F2"/>
    <w:rsid w:val="0019287A"/>
    <w:rsid w:val="001B2CBD"/>
    <w:rsid w:val="001C0A54"/>
    <w:rsid w:val="00223A60"/>
    <w:rsid w:val="00250331"/>
    <w:rsid w:val="00257C70"/>
    <w:rsid w:val="002A7DC3"/>
    <w:rsid w:val="002B5D7D"/>
    <w:rsid w:val="002F5AEB"/>
    <w:rsid w:val="00321250"/>
    <w:rsid w:val="0034004B"/>
    <w:rsid w:val="0038464B"/>
    <w:rsid w:val="003E52EF"/>
    <w:rsid w:val="004465E4"/>
    <w:rsid w:val="00455359"/>
    <w:rsid w:val="004B14D1"/>
    <w:rsid w:val="004C0663"/>
    <w:rsid w:val="005306B7"/>
    <w:rsid w:val="005430AD"/>
    <w:rsid w:val="005449E5"/>
    <w:rsid w:val="00572E9D"/>
    <w:rsid w:val="00585AE2"/>
    <w:rsid w:val="005E6007"/>
    <w:rsid w:val="00611334"/>
    <w:rsid w:val="006348F8"/>
    <w:rsid w:val="00655388"/>
    <w:rsid w:val="0067068E"/>
    <w:rsid w:val="00674244"/>
    <w:rsid w:val="007119C6"/>
    <w:rsid w:val="0071761E"/>
    <w:rsid w:val="00782989"/>
    <w:rsid w:val="00787EDC"/>
    <w:rsid w:val="007B7E7A"/>
    <w:rsid w:val="0083782C"/>
    <w:rsid w:val="0084620F"/>
    <w:rsid w:val="00886347"/>
    <w:rsid w:val="0094572C"/>
    <w:rsid w:val="009F7265"/>
    <w:rsid w:val="00A039D2"/>
    <w:rsid w:val="00AA344A"/>
    <w:rsid w:val="00AC3B17"/>
    <w:rsid w:val="00AE7F14"/>
    <w:rsid w:val="00B10A19"/>
    <w:rsid w:val="00B41151"/>
    <w:rsid w:val="00B81364"/>
    <w:rsid w:val="00C11E9B"/>
    <w:rsid w:val="00C53D7F"/>
    <w:rsid w:val="00D148C3"/>
    <w:rsid w:val="00D329F4"/>
    <w:rsid w:val="00D75F85"/>
    <w:rsid w:val="00E339B2"/>
    <w:rsid w:val="00E4350E"/>
    <w:rsid w:val="00E45AE0"/>
    <w:rsid w:val="00EF7042"/>
    <w:rsid w:val="00F14091"/>
    <w:rsid w:val="00F20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BD0AD6"/>
  <w15:chartTrackingRefBased/>
  <w15:docId w15:val="{9E664BC3-5BA0-4744-A75B-01EDE8071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9B2"/>
    <w:pPr>
      <w:widowControl w:val="0"/>
      <w:autoSpaceDE w:val="0"/>
      <w:autoSpaceDN w:val="0"/>
      <w:spacing w:before="240" w:after="240" w:line="240" w:lineRule="auto"/>
      <w:ind w:left="346" w:right="562"/>
    </w:pPr>
    <w:rPr>
      <w:rFonts w:ascii="Arial" w:eastAsia="Times New Roman" w:hAnsi="Arial" w:cs="Times New Roman"/>
      <w:sz w:val="24"/>
      <w:szCs w:val="24"/>
      <w:lang w:bidi="en-US"/>
    </w:rPr>
  </w:style>
  <w:style w:type="paragraph" w:styleId="Heading1">
    <w:name w:val="heading 1"/>
    <w:link w:val="Heading1Char"/>
    <w:uiPriority w:val="9"/>
    <w:qFormat/>
    <w:rsid w:val="00E339B2"/>
    <w:pPr>
      <w:numPr>
        <w:numId w:val="1"/>
      </w:numPr>
      <w:tabs>
        <w:tab w:val="left" w:pos="708"/>
      </w:tabs>
      <w:spacing w:before="120" w:after="120"/>
      <w:outlineLvl w:val="0"/>
    </w:pPr>
    <w:rPr>
      <w:rFonts w:ascii="Arial" w:eastAsia="Times New Roman" w:hAnsi="Arial" w:cs="Times New Roman"/>
      <w:b/>
      <w:sz w:val="24"/>
      <w:szCs w:val="24"/>
      <w:u w:val="thick"/>
      <w:lang w:bidi="en-US"/>
    </w:rPr>
  </w:style>
  <w:style w:type="paragraph" w:styleId="Heading2">
    <w:name w:val="heading 2"/>
    <w:basedOn w:val="Heading1"/>
    <w:next w:val="Normal"/>
    <w:link w:val="Heading2Char"/>
    <w:uiPriority w:val="9"/>
    <w:unhideWhenUsed/>
    <w:qFormat/>
    <w:rsid w:val="00E339B2"/>
    <w:pPr>
      <w:outlineLvl w:val="1"/>
    </w:pPr>
  </w:style>
  <w:style w:type="paragraph" w:styleId="Heading3">
    <w:name w:val="heading 3"/>
    <w:basedOn w:val="Heading1"/>
    <w:next w:val="Normal"/>
    <w:link w:val="Heading3Char"/>
    <w:uiPriority w:val="9"/>
    <w:unhideWhenUsed/>
    <w:qFormat/>
    <w:rsid w:val="00E339B2"/>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9B2"/>
    <w:rPr>
      <w:rFonts w:ascii="Arial" w:eastAsia="Times New Roman" w:hAnsi="Arial" w:cs="Times New Roman"/>
      <w:b/>
      <w:sz w:val="24"/>
      <w:szCs w:val="24"/>
      <w:u w:val="thick"/>
      <w:lang w:bidi="en-US"/>
    </w:rPr>
  </w:style>
  <w:style w:type="paragraph" w:styleId="BodyText">
    <w:name w:val="Body Text"/>
    <w:basedOn w:val="Normal"/>
    <w:link w:val="BodyTextChar"/>
    <w:uiPriority w:val="1"/>
    <w:qFormat/>
    <w:rsid w:val="002A7DC3"/>
  </w:style>
  <w:style w:type="character" w:customStyle="1" w:styleId="BodyTextChar">
    <w:name w:val="Body Text Char"/>
    <w:basedOn w:val="DefaultParagraphFont"/>
    <w:link w:val="BodyText"/>
    <w:uiPriority w:val="1"/>
    <w:rsid w:val="002A7DC3"/>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0F0D32"/>
    <w:pPr>
      <w:numPr>
        <w:numId w:val="2"/>
      </w:numPr>
    </w:pPr>
  </w:style>
  <w:style w:type="paragraph" w:customStyle="1" w:styleId="TableParagraph">
    <w:name w:val="Table Paragraph"/>
    <w:basedOn w:val="Normal"/>
    <w:uiPriority w:val="1"/>
    <w:qFormat/>
    <w:rsid w:val="002A7DC3"/>
    <w:pPr>
      <w:spacing w:line="268" w:lineRule="exact"/>
      <w:ind w:left="112"/>
    </w:pPr>
  </w:style>
  <w:style w:type="paragraph" w:styleId="Header">
    <w:name w:val="header"/>
    <w:basedOn w:val="Normal"/>
    <w:link w:val="HeaderChar"/>
    <w:uiPriority w:val="99"/>
    <w:unhideWhenUsed/>
    <w:rsid w:val="002A7DC3"/>
    <w:pPr>
      <w:tabs>
        <w:tab w:val="center" w:pos="4680"/>
        <w:tab w:val="right" w:pos="9360"/>
      </w:tabs>
    </w:pPr>
  </w:style>
  <w:style w:type="character" w:customStyle="1" w:styleId="HeaderChar">
    <w:name w:val="Header Char"/>
    <w:basedOn w:val="DefaultParagraphFont"/>
    <w:link w:val="Header"/>
    <w:uiPriority w:val="99"/>
    <w:rsid w:val="002A7DC3"/>
    <w:rPr>
      <w:rFonts w:ascii="Times New Roman" w:eastAsia="Times New Roman" w:hAnsi="Times New Roman" w:cs="Times New Roman"/>
      <w:sz w:val="24"/>
      <w:szCs w:val="24"/>
      <w:lang w:bidi="en-US"/>
    </w:rPr>
  </w:style>
  <w:style w:type="paragraph" w:styleId="Footer">
    <w:name w:val="footer"/>
    <w:basedOn w:val="Normal"/>
    <w:link w:val="FooterChar"/>
    <w:uiPriority w:val="99"/>
    <w:unhideWhenUsed/>
    <w:rsid w:val="002A7DC3"/>
    <w:pPr>
      <w:tabs>
        <w:tab w:val="center" w:pos="4680"/>
        <w:tab w:val="right" w:pos="9360"/>
      </w:tabs>
    </w:pPr>
  </w:style>
  <w:style w:type="character" w:customStyle="1" w:styleId="FooterChar">
    <w:name w:val="Footer Char"/>
    <w:basedOn w:val="DefaultParagraphFont"/>
    <w:link w:val="Footer"/>
    <w:uiPriority w:val="99"/>
    <w:rsid w:val="002A7DC3"/>
    <w:rPr>
      <w:rFonts w:ascii="Times New Roman" w:eastAsia="Times New Roman" w:hAnsi="Times New Roman" w:cs="Times New Roman"/>
      <w:sz w:val="24"/>
      <w:szCs w:val="24"/>
      <w:lang w:bidi="en-US"/>
    </w:rPr>
  </w:style>
  <w:style w:type="paragraph" w:styleId="Title">
    <w:name w:val="Title"/>
    <w:basedOn w:val="Heading1"/>
    <w:next w:val="Normal"/>
    <w:link w:val="TitleChar"/>
    <w:uiPriority w:val="10"/>
    <w:qFormat/>
    <w:rsid w:val="002A7DC3"/>
    <w:pPr>
      <w:numPr>
        <w:numId w:val="0"/>
      </w:numPr>
      <w:ind w:left="346"/>
      <w:jc w:val="center"/>
    </w:pPr>
    <w:rPr>
      <w:u w:val="none"/>
    </w:rPr>
  </w:style>
  <w:style w:type="character" w:customStyle="1" w:styleId="TitleChar">
    <w:name w:val="Title Char"/>
    <w:basedOn w:val="DefaultParagraphFont"/>
    <w:link w:val="Title"/>
    <w:uiPriority w:val="10"/>
    <w:rsid w:val="002A7DC3"/>
    <w:rPr>
      <w:rFonts w:ascii="Times New Roman" w:eastAsia="Times New Roman" w:hAnsi="Times New Roman" w:cs="Times New Roman"/>
      <w:b/>
      <w:sz w:val="24"/>
      <w:szCs w:val="24"/>
      <w:lang w:bidi="en-US"/>
    </w:rPr>
  </w:style>
  <w:style w:type="table" w:styleId="TableGrid">
    <w:name w:val="Table Grid"/>
    <w:basedOn w:val="TableNormal"/>
    <w:uiPriority w:val="39"/>
    <w:rsid w:val="00F20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339B2"/>
    <w:rPr>
      <w:rFonts w:ascii="Arial" w:eastAsia="Times New Roman" w:hAnsi="Arial" w:cs="Times New Roman"/>
      <w:b/>
      <w:sz w:val="24"/>
      <w:szCs w:val="24"/>
      <w:u w:val="thick"/>
      <w:lang w:bidi="en-US"/>
    </w:rPr>
  </w:style>
  <w:style w:type="table" w:styleId="TableGridLight">
    <w:name w:val="Grid Table Light"/>
    <w:basedOn w:val="TableNormal"/>
    <w:uiPriority w:val="40"/>
    <w:rsid w:val="00AA344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2">
    <w:name w:val="Grid Table 1 Light Accent 2"/>
    <w:basedOn w:val="TableNormal"/>
    <w:uiPriority w:val="46"/>
    <w:rsid w:val="00AA344A"/>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E339B2"/>
    <w:rPr>
      <w:rFonts w:ascii="Arial" w:eastAsia="Times New Roman" w:hAnsi="Arial" w:cs="Times New Roman"/>
      <w:b/>
      <w:sz w:val="24"/>
      <w:szCs w:val="24"/>
      <w:u w:val="thick"/>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v_Status xmlns="4a7c33b2-f802-4b94-8d9d-7b3293ec7308">Ready for approval</Dev_Status>
    <Manager xmlns="4a7c33b2-f802-4b94-8d9d-7b3293ec7308">
      <UserInfo>
        <DisplayName/>
        <AccountId xsi:nil="true"/>
        <AccountType/>
      </UserInfo>
    </Manager>
    <SOP_x0020_Release xmlns="358862d2-693e-438f-8856-2a98448a28cc" xsi:nil="true"/>
    <Notes0 xmlns="358862d2-693e-438f-8856-2a98448a28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EA2643991AF745B017D629F7870D6A" ma:contentTypeVersion="31" ma:contentTypeDescription="Create a new document." ma:contentTypeScope="" ma:versionID="38f53c9c50ae8795462a8a9b48ecec14">
  <xsd:schema xmlns:xsd="http://www.w3.org/2001/XMLSchema" xmlns:xs="http://www.w3.org/2001/XMLSchema" xmlns:p="http://schemas.microsoft.com/office/2006/metadata/properties" xmlns:ns2="4a7c33b2-f802-4b94-8d9d-7b3293ec7308" xmlns:ns3="358862d2-693e-438f-8856-2a98448a28cc" targetNamespace="http://schemas.microsoft.com/office/2006/metadata/properties" ma:root="true" ma:fieldsID="e4ecce80e4543c537a89594938f389b6" ns2:_="" ns3:_="">
    <xsd:import namespace="4a7c33b2-f802-4b94-8d9d-7b3293ec7308"/>
    <xsd:import namespace="358862d2-693e-438f-8856-2a98448a28cc"/>
    <xsd:element name="properties">
      <xsd:complexType>
        <xsd:sequence>
          <xsd:element name="documentManagement">
            <xsd:complexType>
              <xsd:all>
                <xsd:element ref="ns2:Dev_Status"/>
                <xsd:element ref="ns3:Notes0" minOccurs="0"/>
                <xsd:element ref="ns3:SOP_x0020_Release" minOccurs="0"/>
                <xsd:element ref="ns2:Manager"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c33b2-f802-4b94-8d9d-7b3293ec7308" elementFormDefault="qualified">
    <xsd:import namespace="http://schemas.microsoft.com/office/2006/documentManagement/types"/>
    <xsd:import namespace="http://schemas.microsoft.com/office/infopath/2007/PartnerControls"/>
    <xsd:element name="Dev_Status" ma:index="8" ma:displayName="Dev_Status" ma:description="Status for developing documents" ma:format="Dropdown" ma:internalName="Dev_Status" ma:readOnly="false">
      <xsd:simpleType>
        <xsd:restriction base="dms:Choice">
          <xsd:enumeration value="N/A"/>
          <xsd:enumeration value="In-queue"/>
          <xsd:enumeration value="In-development"/>
          <xsd:enumeration value="In-review/update"/>
          <xsd:enumeration value="In-QC/Normalization"/>
          <xsd:enumeration value="Ready for approval"/>
          <xsd:enumeration value="Approved"/>
        </xsd:restriction>
      </xsd:simpleType>
    </xsd:element>
    <xsd:element name="Manager" ma:index="11" nillable="true" ma:displayName="Manager:" ma:description="Enter the name of the person responsible for developing the set of SOPs." ma:list="UserInfo" ma:SharePointGroup="0" ma:internalName="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8862d2-693e-438f-8856-2a98448a28cc" elementFormDefault="qualified">
    <xsd:import namespace="http://schemas.microsoft.com/office/2006/documentManagement/types"/>
    <xsd:import namespace="http://schemas.microsoft.com/office/infopath/2007/PartnerControls"/>
    <xsd:element name="Notes0" ma:index="9" nillable="true" ma:displayName="Comments" ma:description="Enter comments or notes here." ma:internalName="Notes0" ma:readOnly="false">
      <xsd:simpleType>
        <xsd:restriction base="dms:Note">
          <xsd:maxLength value="255"/>
        </xsd:restriction>
      </xsd:simpleType>
    </xsd:element>
    <xsd:element name="SOP_x0020_Release" ma:index="10" nillable="true" ma:displayName="SOP Release" ma:internalName="SOP_x0020_Release" ma:readOnly="false">
      <xsd:simpleType>
        <xsd:restriction base="dms:Text">
          <xsd:maxLength value="50"/>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0F8E7B-50F2-4AE3-9FE3-E6FDF87AE04B}">
  <ds:schemaRefs>
    <ds:schemaRef ds:uri="http://purl.org/dc/terms/"/>
    <ds:schemaRef ds:uri="4a7c33b2-f802-4b94-8d9d-7b3293ec7308"/>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358862d2-693e-438f-8856-2a98448a28c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5CF2480-4834-4346-9425-810DDD41C5F9}">
  <ds:schemaRefs>
    <ds:schemaRef ds:uri="http://schemas.microsoft.com/sharepoint/v3/contenttype/forms"/>
  </ds:schemaRefs>
</ds:datastoreItem>
</file>

<file path=customXml/itemProps3.xml><?xml version="1.0" encoding="utf-8"?>
<ds:datastoreItem xmlns:ds="http://schemas.openxmlformats.org/officeDocument/2006/customXml" ds:itemID="{4812DD8A-32B0-492F-B59E-DB3DE1CD8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c33b2-f802-4b94-8d9d-7b3293ec7308"/>
    <ds:schemaRef ds:uri="358862d2-693e-438f-8856-2a98448a2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2511</Words>
  <Characters>14317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Big Data SOW Sample</vt:lpstr>
    </vt:vector>
  </TitlesOfParts>
  <Company>NITAAC</Company>
  <LinksUpToDate>false</LinksUpToDate>
  <CharactersWithSpaces>16795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 Data SOW Sample</dc:title>
  <dc:subject>Statement of Work for Big Data Environment (BDE)</dc:subject>
  <dc:creator>Miller, Thomas (NIH/OD) [C]</dc:creator>
  <cp:keywords>SOW, Big Data, Sample</cp:keywords>
  <dc:description/>
  <cp:lastModifiedBy>Miller, Thomas (NIH/OD) [C]</cp:lastModifiedBy>
  <cp:revision>3</cp:revision>
  <dcterms:created xsi:type="dcterms:W3CDTF">2021-05-24T19:36:00Z</dcterms:created>
  <dcterms:modified xsi:type="dcterms:W3CDTF">2021-07-07T17:41:00Z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0x010100FFEA2643991AF745B017D629F7870D6A</vt:lpwstr>
  </property>
  <property fmtid="{D5CDD505-2E9C-101B-9397-08002B2CF9AE}" pid="3" name="Order">
    <vt:r8>61900</vt:r8>
  </property>
</Properties>
</file>